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95109" w14:textId="77777777" w:rsidR="00521C2F" w:rsidRPr="00521C2F" w:rsidRDefault="00521C2F" w:rsidP="00855C9C">
      <w:pPr>
        <w:spacing w:after="0" w:line="276" w:lineRule="auto"/>
        <w:jc w:val="center"/>
        <w:rPr>
          <w:rFonts w:eastAsia="Times New Roman" w:cs="Times New Roman"/>
          <w:b/>
          <w:bCs/>
          <w:kern w:val="36"/>
          <w:sz w:val="32"/>
          <w:szCs w:val="32"/>
          <w:lang w:eastAsia="en-GB"/>
          <w14:ligatures w14:val="none"/>
        </w:rPr>
      </w:pPr>
      <w:r w:rsidRPr="00521C2F">
        <w:rPr>
          <w:rFonts w:eastAsia="Times New Roman" w:cs="Times New Roman"/>
          <w:b/>
          <w:bCs/>
          <w:kern w:val="36"/>
          <w:sz w:val="32"/>
          <w:szCs w:val="32"/>
          <w:lang w:eastAsia="en-GB"/>
          <w14:ligatures w14:val="none"/>
        </w:rPr>
        <w:t>Core Cities UK Investment Summit</w:t>
      </w:r>
    </w:p>
    <w:p w14:paraId="7606AE44" w14:textId="77777777" w:rsidR="00521C2F" w:rsidRPr="00521C2F" w:rsidRDefault="00521C2F" w:rsidP="00855C9C">
      <w:pPr>
        <w:spacing w:after="0" w:line="276" w:lineRule="auto"/>
        <w:jc w:val="center"/>
        <w:rPr>
          <w:rFonts w:eastAsia="Times New Roman" w:cs="Times New Roman"/>
          <w:b/>
          <w:bCs/>
          <w:kern w:val="0"/>
          <w:sz w:val="24"/>
          <w:szCs w:val="24"/>
          <w:lang w:eastAsia="en-GB"/>
          <w14:ligatures w14:val="none"/>
        </w:rPr>
      </w:pPr>
      <w:r w:rsidRPr="00521C2F">
        <w:rPr>
          <w:rFonts w:eastAsia="Times New Roman" w:cs="Times New Roman"/>
          <w:b/>
          <w:bCs/>
          <w:kern w:val="0"/>
          <w:sz w:val="24"/>
          <w:szCs w:val="24"/>
          <w:lang w:eastAsia="en-GB"/>
          <w14:ligatures w14:val="none"/>
        </w:rPr>
        <w:t>Workshop Summary Note</w:t>
      </w:r>
    </w:p>
    <w:p w14:paraId="79586B66" w14:textId="77777777" w:rsidR="00521C2F" w:rsidRPr="00521C2F" w:rsidRDefault="00521C2F" w:rsidP="00855C9C">
      <w:pPr>
        <w:spacing w:before="100" w:beforeAutospacing="1" w:after="0" w:line="276" w:lineRule="auto"/>
        <w:jc w:val="right"/>
        <w:rPr>
          <w:rFonts w:eastAsia="Times New Roman" w:cs="Times New Roman"/>
          <w:kern w:val="0"/>
          <w:sz w:val="24"/>
          <w:szCs w:val="24"/>
          <w:lang w:eastAsia="en-GB"/>
          <w14:ligatures w14:val="none"/>
        </w:rPr>
      </w:pPr>
      <w:r w:rsidRPr="00521C2F">
        <w:rPr>
          <w:rFonts w:eastAsia="Times New Roman" w:cs="Times New Roman"/>
          <w:b/>
          <w:bCs/>
          <w:kern w:val="0"/>
          <w:sz w:val="24"/>
          <w:szCs w:val="24"/>
          <w:lang w:eastAsia="en-GB"/>
          <w14:ligatures w14:val="none"/>
        </w:rPr>
        <w:t>Leeds | 6 February 2026</w:t>
      </w:r>
    </w:p>
    <w:p w14:paraId="07D2526B" w14:textId="77777777" w:rsidR="00521C2F" w:rsidRPr="00521C2F" w:rsidRDefault="00521C2F" w:rsidP="00855C9C">
      <w:pPr>
        <w:spacing w:after="0" w:line="276" w:lineRule="auto"/>
        <w:rPr>
          <w:rFonts w:eastAsia="Times New Roman" w:cs="Times New Roman"/>
          <w:b/>
          <w:bCs/>
          <w:kern w:val="0"/>
          <w:sz w:val="36"/>
          <w:szCs w:val="36"/>
          <w:lang w:eastAsia="en-GB"/>
          <w14:ligatures w14:val="none"/>
        </w:rPr>
      </w:pPr>
      <w:r w:rsidRPr="00521C2F">
        <w:rPr>
          <w:rFonts w:eastAsia="Times New Roman" w:cs="Times New Roman"/>
          <w:b/>
          <w:bCs/>
          <w:kern w:val="0"/>
          <w:sz w:val="24"/>
          <w:szCs w:val="24"/>
          <w:lang w:eastAsia="en-GB"/>
          <w14:ligatures w14:val="none"/>
        </w:rPr>
        <w:t>1. Introduction</w:t>
      </w:r>
    </w:p>
    <w:p w14:paraId="2AB0940F" w14:textId="6600F660" w:rsidR="00521C2F" w:rsidRPr="00521C2F" w:rsidRDefault="00521C2F" w:rsidP="00855C9C">
      <w:p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The Core Cities UK Investment Summit, held in Leeds on 6 February 2026, brought together civic leaders, senior officials, public finance institutions, and private sector investors to explore how cities can unlock greater levels of investment to drive growth</w:t>
      </w:r>
      <w:r>
        <w:rPr>
          <w:rFonts w:eastAsia="Times New Roman" w:cs="Times New Roman"/>
          <w:kern w:val="0"/>
          <w:sz w:val="24"/>
          <w:szCs w:val="24"/>
          <w:lang w:eastAsia="en-GB"/>
          <w14:ligatures w14:val="none"/>
        </w:rPr>
        <w:t xml:space="preserve"> and productivity</w:t>
      </w:r>
      <w:r w:rsidRPr="00521C2F">
        <w:rPr>
          <w:rFonts w:eastAsia="Times New Roman" w:cs="Times New Roman"/>
          <w:kern w:val="0"/>
          <w:sz w:val="24"/>
          <w:szCs w:val="24"/>
          <w:lang w:eastAsia="en-GB"/>
          <w14:ligatures w14:val="none"/>
        </w:rPr>
        <w:t>.</w:t>
      </w:r>
    </w:p>
    <w:p w14:paraId="532CDE56" w14:textId="77777777" w:rsidR="00521C2F" w:rsidRPr="00521C2F" w:rsidRDefault="00521C2F" w:rsidP="00855C9C">
      <w:p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The day was structured around a strategic panel session followed by two workshop sessions. Participants were assigned to one of seven themed groups, each designed to bring together a balance of local government, national government, investors and delivery partners. The workshops were structured in two parts:</w:t>
      </w:r>
    </w:p>
    <w:p w14:paraId="7B5A6FBE" w14:textId="77777777" w:rsidR="00521C2F" w:rsidRPr="00521C2F" w:rsidRDefault="00521C2F" w:rsidP="00855C9C">
      <w:pPr>
        <w:numPr>
          <w:ilvl w:val="0"/>
          <w:numId w:val="1"/>
        </w:num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b/>
          <w:bCs/>
          <w:kern w:val="0"/>
          <w:sz w:val="24"/>
          <w:szCs w:val="24"/>
          <w:lang w:eastAsia="en-GB"/>
          <w14:ligatures w14:val="none"/>
        </w:rPr>
        <w:t>Part 1:</w:t>
      </w:r>
      <w:r w:rsidRPr="00521C2F">
        <w:rPr>
          <w:rFonts w:eastAsia="Times New Roman" w:cs="Times New Roman"/>
          <w:kern w:val="0"/>
          <w:sz w:val="24"/>
          <w:szCs w:val="24"/>
          <w:lang w:eastAsia="en-GB"/>
          <w14:ligatures w14:val="none"/>
        </w:rPr>
        <w:t xml:space="preserve"> Understanding the challenge and barriers</w:t>
      </w:r>
    </w:p>
    <w:p w14:paraId="577DB872" w14:textId="77777777" w:rsidR="00521C2F" w:rsidRPr="00521C2F" w:rsidRDefault="00521C2F" w:rsidP="00855C9C">
      <w:pPr>
        <w:numPr>
          <w:ilvl w:val="0"/>
          <w:numId w:val="1"/>
        </w:num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b/>
          <w:bCs/>
          <w:kern w:val="0"/>
          <w:sz w:val="24"/>
          <w:szCs w:val="24"/>
          <w:lang w:eastAsia="en-GB"/>
          <w14:ligatures w14:val="none"/>
        </w:rPr>
        <w:t>Part 2:</w:t>
      </w:r>
      <w:r w:rsidRPr="00521C2F">
        <w:rPr>
          <w:rFonts w:eastAsia="Times New Roman" w:cs="Times New Roman"/>
          <w:kern w:val="0"/>
          <w:sz w:val="24"/>
          <w:szCs w:val="24"/>
          <w:lang w:eastAsia="en-GB"/>
          <w14:ligatures w14:val="none"/>
        </w:rPr>
        <w:t xml:space="preserve"> Identifying solutions and priorities for further work</w:t>
      </w:r>
    </w:p>
    <w:p w14:paraId="0D19C0F6" w14:textId="77777777" w:rsidR="00521C2F" w:rsidRPr="00521C2F" w:rsidRDefault="00521C2F" w:rsidP="00855C9C">
      <w:p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The workshops focused on six core themes:</w:t>
      </w:r>
    </w:p>
    <w:p w14:paraId="300C6526" w14:textId="77777777" w:rsidR="00521C2F" w:rsidRPr="00521C2F" w:rsidRDefault="00521C2F" w:rsidP="00855C9C">
      <w:pPr>
        <w:numPr>
          <w:ilvl w:val="0"/>
          <w:numId w:val="2"/>
        </w:num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Investment Models</w:t>
      </w:r>
    </w:p>
    <w:p w14:paraId="66913D17" w14:textId="77777777" w:rsidR="00521C2F" w:rsidRPr="00521C2F" w:rsidRDefault="00521C2F" w:rsidP="00855C9C">
      <w:pPr>
        <w:numPr>
          <w:ilvl w:val="0"/>
          <w:numId w:val="2"/>
        </w:num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City Centre Office Development</w:t>
      </w:r>
    </w:p>
    <w:p w14:paraId="6CE196D6" w14:textId="77777777" w:rsidR="00521C2F" w:rsidRPr="00521C2F" w:rsidRDefault="00521C2F" w:rsidP="00855C9C">
      <w:pPr>
        <w:numPr>
          <w:ilvl w:val="0"/>
          <w:numId w:val="2"/>
        </w:num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High Density Urban Housing</w:t>
      </w:r>
    </w:p>
    <w:p w14:paraId="256476C5" w14:textId="77777777" w:rsidR="00521C2F" w:rsidRPr="00521C2F" w:rsidRDefault="00521C2F" w:rsidP="00855C9C">
      <w:pPr>
        <w:numPr>
          <w:ilvl w:val="0"/>
          <w:numId w:val="2"/>
        </w:num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Innovation Districts</w:t>
      </w:r>
    </w:p>
    <w:p w14:paraId="1A2D341E" w14:textId="77777777" w:rsidR="00521C2F" w:rsidRPr="00521C2F" w:rsidRDefault="00521C2F" w:rsidP="00855C9C">
      <w:pPr>
        <w:numPr>
          <w:ilvl w:val="0"/>
          <w:numId w:val="2"/>
        </w:num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Net Zero City Infrastructure</w:t>
      </w:r>
    </w:p>
    <w:p w14:paraId="5335207D" w14:textId="77777777" w:rsidR="00521C2F" w:rsidRPr="00521C2F" w:rsidRDefault="00521C2F" w:rsidP="00855C9C">
      <w:pPr>
        <w:numPr>
          <w:ilvl w:val="0"/>
          <w:numId w:val="2"/>
        </w:num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Building Partnerships and Capacity</w:t>
      </w:r>
    </w:p>
    <w:p w14:paraId="382C4117" w14:textId="34C7BD53" w:rsidR="00521C2F" w:rsidRPr="00957DFE" w:rsidRDefault="00521C2F" w:rsidP="00855C9C">
      <w:p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Across all sessions, there was strong consensus that UK cities have both the pipeline of opportunity and the ambition to deliver</w:t>
      </w:r>
      <w:r w:rsidR="00957DFE">
        <w:rPr>
          <w:rFonts w:eastAsia="Times New Roman" w:cs="Times New Roman"/>
          <w:kern w:val="0"/>
          <w:sz w:val="24"/>
          <w:szCs w:val="24"/>
          <w:lang w:eastAsia="en-GB"/>
          <w14:ligatures w14:val="none"/>
        </w:rPr>
        <w:t xml:space="preserve"> </w:t>
      </w:r>
      <w:r w:rsidRPr="00521C2F">
        <w:rPr>
          <w:rFonts w:eastAsia="Times New Roman" w:cs="Times New Roman"/>
          <w:kern w:val="0"/>
          <w:sz w:val="24"/>
          <w:szCs w:val="24"/>
          <w:lang w:eastAsia="en-GB"/>
          <w14:ligatures w14:val="none"/>
        </w:rPr>
        <w:t>but face a common set of systemic barriers in translating this into investable, scalable programmes.</w:t>
      </w:r>
    </w:p>
    <w:p w14:paraId="56DDFE6F" w14:textId="60D0E5D4" w:rsidR="00521C2F" w:rsidRDefault="00521C2F" w:rsidP="00855C9C">
      <w:pPr>
        <w:spacing w:before="100" w:beforeAutospacing="1" w:after="0" w:line="276" w:lineRule="auto"/>
        <w:rPr>
          <w:rFonts w:eastAsia="Times New Roman" w:cs="Times New Roman"/>
          <w:b/>
          <w:bCs/>
          <w:kern w:val="0"/>
          <w:sz w:val="24"/>
          <w:szCs w:val="24"/>
          <w:lang w:eastAsia="en-GB"/>
          <w14:ligatures w14:val="none"/>
        </w:rPr>
      </w:pPr>
      <w:r w:rsidRPr="00521C2F">
        <w:rPr>
          <w:rFonts w:eastAsia="Times New Roman" w:cs="Times New Roman"/>
          <w:b/>
          <w:bCs/>
          <w:kern w:val="0"/>
          <w:sz w:val="24"/>
          <w:szCs w:val="24"/>
          <w:lang w:eastAsia="en-GB"/>
          <w14:ligatures w14:val="none"/>
        </w:rPr>
        <w:t>2. Cross-cutting themes</w:t>
      </w:r>
    </w:p>
    <w:p w14:paraId="2E11CD7C" w14:textId="77777777" w:rsidR="00521C2F" w:rsidRPr="00521C2F" w:rsidRDefault="00521C2F" w:rsidP="00855C9C">
      <w:p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Across all workshops, a consistent set of themes emerged:</w:t>
      </w:r>
    </w:p>
    <w:p w14:paraId="7C04CAF6" w14:textId="353033A3" w:rsidR="00521C2F" w:rsidRPr="00521C2F" w:rsidRDefault="00521C2F" w:rsidP="00855C9C">
      <w:pPr>
        <w:numPr>
          <w:ilvl w:val="0"/>
          <w:numId w:val="19"/>
        </w:num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b/>
          <w:bCs/>
          <w:kern w:val="0"/>
          <w:sz w:val="24"/>
          <w:szCs w:val="24"/>
          <w:lang w:eastAsia="en-GB"/>
          <w14:ligatures w14:val="none"/>
        </w:rPr>
        <w:t>Structural viability gap:</w:t>
      </w:r>
      <w:r w:rsidRPr="00521C2F">
        <w:rPr>
          <w:rFonts w:eastAsia="Times New Roman" w:cs="Times New Roman"/>
          <w:kern w:val="0"/>
          <w:sz w:val="24"/>
          <w:szCs w:val="24"/>
          <w:lang w:eastAsia="en-GB"/>
          <w14:ligatures w14:val="none"/>
        </w:rPr>
        <w:t xml:space="preserve"> Across housing, commercial and infrastructure, many schemes are not deliverable without intervention</w:t>
      </w:r>
      <w:r>
        <w:rPr>
          <w:rFonts w:eastAsia="Times New Roman" w:cs="Times New Roman"/>
          <w:kern w:val="0"/>
          <w:sz w:val="24"/>
          <w:szCs w:val="24"/>
          <w:lang w:eastAsia="en-GB"/>
          <w14:ligatures w14:val="none"/>
        </w:rPr>
        <w:t>, based on the short-term cyclical funding models that are generally used for financing development</w:t>
      </w:r>
      <w:r w:rsidRPr="00521C2F">
        <w:rPr>
          <w:rFonts w:eastAsia="Times New Roman" w:cs="Times New Roman"/>
          <w:kern w:val="0"/>
          <w:sz w:val="24"/>
          <w:szCs w:val="24"/>
          <w:lang w:eastAsia="en-GB"/>
          <w14:ligatures w14:val="none"/>
        </w:rPr>
        <w:t>.</w:t>
      </w:r>
    </w:p>
    <w:p w14:paraId="5EEB330E" w14:textId="4159D2C9" w:rsidR="00521C2F" w:rsidRPr="00521C2F" w:rsidRDefault="00521C2F" w:rsidP="00855C9C">
      <w:pPr>
        <w:numPr>
          <w:ilvl w:val="0"/>
          <w:numId w:val="19"/>
        </w:num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b/>
          <w:bCs/>
          <w:kern w:val="0"/>
          <w:sz w:val="24"/>
          <w:szCs w:val="24"/>
          <w:lang w:eastAsia="en-GB"/>
          <w14:ligatures w14:val="none"/>
        </w:rPr>
        <w:t>Risk allocation:</w:t>
      </w:r>
      <w:r w:rsidRPr="00521C2F">
        <w:rPr>
          <w:rFonts w:eastAsia="Times New Roman" w:cs="Times New Roman"/>
          <w:kern w:val="0"/>
          <w:sz w:val="24"/>
          <w:szCs w:val="24"/>
          <w:lang w:eastAsia="en-GB"/>
          <w14:ligatures w14:val="none"/>
        </w:rPr>
        <w:t xml:space="preserve"> Risk is often concentrated in local authorities, whose </w:t>
      </w:r>
      <w:r>
        <w:rPr>
          <w:rFonts w:eastAsia="Times New Roman" w:cs="Times New Roman"/>
          <w:kern w:val="0"/>
          <w:sz w:val="24"/>
          <w:szCs w:val="24"/>
          <w:lang w:eastAsia="en-GB"/>
          <w14:ligatures w14:val="none"/>
        </w:rPr>
        <w:t xml:space="preserve">balance sheet </w:t>
      </w:r>
      <w:r w:rsidRPr="00521C2F">
        <w:rPr>
          <w:rFonts w:eastAsia="Times New Roman" w:cs="Times New Roman"/>
          <w:kern w:val="0"/>
          <w:sz w:val="24"/>
          <w:szCs w:val="24"/>
          <w:lang w:eastAsia="en-GB"/>
          <w14:ligatures w14:val="none"/>
        </w:rPr>
        <w:t>capacity to absorb it is increasingly constrained</w:t>
      </w:r>
      <w:r>
        <w:rPr>
          <w:rFonts w:eastAsia="Times New Roman" w:cs="Times New Roman"/>
          <w:kern w:val="0"/>
          <w:sz w:val="24"/>
          <w:szCs w:val="24"/>
          <w:lang w:eastAsia="en-GB"/>
          <w14:ligatures w14:val="none"/>
        </w:rPr>
        <w:t>, given resource pressures to deliver statutory services and the need to operate within prudential borrowing constraints</w:t>
      </w:r>
      <w:r w:rsidRPr="00521C2F">
        <w:rPr>
          <w:rFonts w:eastAsia="Times New Roman" w:cs="Times New Roman"/>
          <w:kern w:val="0"/>
          <w:sz w:val="24"/>
          <w:szCs w:val="24"/>
          <w:lang w:eastAsia="en-GB"/>
          <w14:ligatures w14:val="none"/>
        </w:rPr>
        <w:t>.</w:t>
      </w:r>
    </w:p>
    <w:p w14:paraId="00128B50" w14:textId="3893367E" w:rsidR="00521C2F" w:rsidRPr="00521C2F" w:rsidRDefault="00521C2F" w:rsidP="00855C9C">
      <w:pPr>
        <w:numPr>
          <w:ilvl w:val="0"/>
          <w:numId w:val="19"/>
        </w:num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b/>
          <w:bCs/>
          <w:kern w:val="0"/>
          <w:sz w:val="24"/>
          <w:szCs w:val="24"/>
          <w:lang w:eastAsia="en-GB"/>
          <w14:ligatures w14:val="none"/>
        </w:rPr>
        <w:lastRenderedPageBreak/>
        <w:t>Need for scale and aggregation:</w:t>
      </w:r>
      <w:r w:rsidRPr="00521C2F">
        <w:rPr>
          <w:rFonts w:eastAsia="Times New Roman" w:cs="Times New Roman"/>
          <w:kern w:val="0"/>
          <w:sz w:val="24"/>
          <w:szCs w:val="24"/>
          <w:lang w:eastAsia="en-GB"/>
          <w14:ligatures w14:val="none"/>
        </w:rPr>
        <w:t xml:space="preserve"> Institutional capital </w:t>
      </w:r>
      <w:r>
        <w:rPr>
          <w:rFonts w:eastAsia="Times New Roman" w:cs="Times New Roman"/>
          <w:kern w:val="0"/>
          <w:sz w:val="24"/>
          <w:szCs w:val="24"/>
          <w:lang w:eastAsia="en-GB"/>
          <w14:ligatures w14:val="none"/>
        </w:rPr>
        <w:t xml:space="preserve">often </w:t>
      </w:r>
      <w:r w:rsidRPr="00521C2F">
        <w:rPr>
          <w:rFonts w:eastAsia="Times New Roman" w:cs="Times New Roman"/>
          <w:kern w:val="0"/>
          <w:sz w:val="24"/>
          <w:szCs w:val="24"/>
          <w:lang w:eastAsia="en-GB"/>
          <w14:ligatures w14:val="none"/>
        </w:rPr>
        <w:t>requires larger, more standardised investment propositions.</w:t>
      </w:r>
      <w:r>
        <w:rPr>
          <w:rFonts w:eastAsia="Times New Roman" w:cs="Times New Roman"/>
          <w:kern w:val="0"/>
          <w:sz w:val="24"/>
          <w:szCs w:val="24"/>
          <w:lang w:eastAsia="en-GB"/>
          <w14:ligatures w14:val="none"/>
        </w:rPr>
        <w:t xml:space="preserve">  Moving from project level to portfolio and partnership level is </w:t>
      </w:r>
      <w:proofErr w:type="gramStart"/>
      <w:r>
        <w:rPr>
          <w:rFonts w:eastAsia="Times New Roman" w:cs="Times New Roman"/>
          <w:kern w:val="0"/>
          <w:sz w:val="24"/>
          <w:szCs w:val="24"/>
          <w:lang w:eastAsia="en-GB"/>
          <w14:ligatures w14:val="none"/>
        </w:rPr>
        <w:t>desirable, but</w:t>
      </w:r>
      <w:proofErr w:type="gramEnd"/>
      <w:r>
        <w:rPr>
          <w:rFonts w:eastAsia="Times New Roman" w:cs="Times New Roman"/>
          <w:kern w:val="0"/>
          <w:sz w:val="24"/>
          <w:szCs w:val="24"/>
          <w:lang w:eastAsia="en-GB"/>
          <w14:ligatures w14:val="none"/>
        </w:rPr>
        <w:t xml:space="preserve"> needs to be done in a way that preserves the need from financial institutions for assurance on quality of projects.</w:t>
      </w:r>
    </w:p>
    <w:p w14:paraId="62772CC4" w14:textId="550B4AE0" w:rsidR="00521C2F" w:rsidRPr="00521C2F" w:rsidRDefault="00521C2F" w:rsidP="00855C9C">
      <w:pPr>
        <w:numPr>
          <w:ilvl w:val="0"/>
          <w:numId w:val="19"/>
        </w:num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b/>
          <w:bCs/>
          <w:kern w:val="0"/>
          <w:sz w:val="24"/>
          <w:szCs w:val="24"/>
          <w:lang w:eastAsia="en-GB"/>
          <w14:ligatures w14:val="none"/>
        </w:rPr>
        <w:t>Capacity constraints:</w:t>
      </w:r>
      <w:r w:rsidRPr="00521C2F">
        <w:rPr>
          <w:rFonts w:eastAsia="Times New Roman" w:cs="Times New Roman"/>
          <w:kern w:val="0"/>
          <w:sz w:val="24"/>
          <w:szCs w:val="24"/>
          <w:lang w:eastAsia="en-GB"/>
          <w14:ligatures w14:val="none"/>
        </w:rPr>
        <w:t xml:space="preserve"> Local capability to develop investment-ready projects remains a key bottleneck.</w:t>
      </w:r>
      <w:r>
        <w:rPr>
          <w:rFonts w:eastAsia="Times New Roman" w:cs="Times New Roman"/>
          <w:kern w:val="0"/>
          <w:sz w:val="24"/>
          <w:szCs w:val="24"/>
          <w:lang w:eastAsia="en-GB"/>
          <w14:ligatures w14:val="none"/>
        </w:rPr>
        <w:t xml:space="preserve">  There is a need for a clearer articulation of what these skills and capabilities are, where they need to exist everywhere and where they can be aggregated and shared.</w:t>
      </w:r>
    </w:p>
    <w:p w14:paraId="10FD3798" w14:textId="3BD69573" w:rsidR="00521C2F" w:rsidRPr="00521C2F" w:rsidRDefault="00521C2F" w:rsidP="00855C9C">
      <w:pPr>
        <w:numPr>
          <w:ilvl w:val="0"/>
          <w:numId w:val="19"/>
        </w:num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b/>
          <w:bCs/>
          <w:kern w:val="0"/>
          <w:sz w:val="24"/>
          <w:szCs w:val="24"/>
          <w:lang w:eastAsia="en-GB"/>
          <w14:ligatures w14:val="none"/>
        </w:rPr>
        <w:t>Fragmentation:</w:t>
      </w:r>
      <w:r w:rsidRPr="00521C2F">
        <w:rPr>
          <w:rFonts w:eastAsia="Times New Roman" w:cs="Times New Roman"/>
          <w:kern w:val="0"/>
          <w:sz w:val="24"/>
          <w:szCs w:val="24"/>
          <w:lang w:eastAsia="en-GB"/>
          <w14:ligatures w14:val="none"/>
        </w:rPr>
        <w:t xml:space="preserve"> Funding, policy and delivery systems are fragmented and difficult to navigate.</w:t>
      </w:r>
      <w:r>
        <w:rPr>
          <w:rFonts w:eastAsia="Times New Roman" w:cs="Times New Roman"/>
          <w:kern w:val="0"/>
          <w:sz w:val="24"/>
          <w:szCs w:val="24"/>
          <w:lang w:eastAsia="en-GB"/>
          <w14:ligatures w14:val="none"/>
        </w:rPr>
        <w:t xml:space="preserve">  Devolution is a clear opportunity to consolidate and streamline these approaches, but it also needs institutions who are willing to work across boundaries and with flexibility within their remits.</w:t>
      </w:r>
    </w:p>
    <w:p w14:paraId="5D4A81E8" w14:textId="3BA6FFB8" w:rsidR="00521C2F" w:rsidRPr="00521C2F" w:rsidRDefault="00521C2F" w:rsidP="00855C9C">
      <w:pPr>
        <w:numPr>
          <w:ilvl w:val="0"/>
          <w:numId w:val="19"/>
        </w:num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b/>
          <w:bCs/>
          <w:kern w:val="0"/>
          <w:sz w:val="24"/>
          <w:szCs w:val="24"/>
          <w:lang w:eastAsia="en-GB"/>
          <w14:ligatures w14:val="none"/>
        </w:rPr>
        <w:t xml:space="preserve">Role of national </w:t>
      </w:r>
      <w:r w:rsidR="00957DFE">
        <w:rPr>
          <w:rFonts w:eastAsia="Times New Roman" w:cs="Times New Roman"/>
          <w:b/>
          <w:bCs/>
          <w:kern w:val="0"/>
          <w:sz w:val="24"/>
          <w:szCs w:val="24"/>
          <w:lang w:eastAsia="en-GB"/>
          <w14:ligatures w14:val="none"/>
        </w:rPr>
        <w:t xml:space="preserve">public </w:t>
      </w:r>
      <w:r w:rsidRPr="00521C2F">
        <w:rPr>
          <w:rFonts w:eastAsia="Times New Roman" w:cs="Times New Roman"/>
          <w:b/>
          <w:bCs/>
          <w:kern w:val="0"/>
          <w:sz w:val="24"/>
          <w:szCs w:val="24"/>
          <w:lang w:eastAsia="en-GB"/>
          <w14:ligatures w14:val="none"/>
        </w:rPr>
        <w:t>institutions:</w:t>
      </w:r>
      <w:r w:rsidRPr="00521C2F">
        <w:rPr>
          <w:rFonts w:eastAsia="Times New Roman" w:cs="Times New Roman"/>
          <w:kern w:val="0"/>
          <w:sz w:val="24"/>
          <w:szCs w:val="24"/>
          <w:lang w:eastAsia="en-GB"/>
          <w14:ligatures w14:val="none"/>
        </w:rPr>
        <w:t xml:space="preserve"> There is a gap in institutions able to take early-stage or structured risk at scale</w:t>
      </w:r>
      <w:r w:rsidR="00957DFE">
        <w:rPr>
          <w:rFonts w:eastAsia="Times New Roman" w:cs="Times New Roman"/>
          <w:kern w:val="0"/>
          <w:sz w:val="24"/>
          <w:szCs w:val="24"/>
          <w:lang w:eastAsia="en-GB"/>
          <w14:ligatures w14:val="none"/>
        </w:rPr>
        <w:t>, with time horizons that allow them to operate with genuine patience in deploying their capital</w:t>
      </w:r>
      <w:r w:rsidRPr="00521C2F">
        <w:rPr>
          <w:rFonts w:eastAsia="Times New Roman" w:cs="Times New Roman"/>
          <w:kern w:val="0"/>
          <w:sz w:val="24"/>
          <w:szCs w:val="24"/>
          <w:lang w:eastAsia="en-GB"/>
          <w14:ligatures w14:val="none"/>
        </w:rPr>
        <w:t>.</w:t>
      </w:r>
    </w:p>
    <w:p w14:paraId="57F79D2C" w14:textId="5B83BF14" w:rsidR="00855C9C" w:rsidRDefault="00521C2F" w:rsidP="00855C9C">
      <w:pPr>
        <w:numPr>
          <w:ilvl w:val="0"/>
          <w:numId w:val="19"/>
        </w:num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b/>
          <w:bCs/>
          <w:kern w:val="0"/>
          <w:sz w:val="24"/>
          <w:szCs w:val="24"/>
          <w:lang w:eastAsia="en-GB"/>
          <w14:ligatures w14:val="none"/>
        </w:rPr>
        <w:t>Importance of partnerships:</w:t>
      </w:r>
      <w:r w:rsidRPr="00521C2F">
        <w:rPr>
          <w:rFonts w:eastAsia="Times New Roman" w:cs="Times New Roman"/>
          <w:kern w:val="0"/>
          <w:sz w:val="24"/>
          <w:szCs w:val="24"/>
          <w:lang w:eastAsia="en-GB"/>
          <w14:ligatures w14:val="none"/>
        </w:rPr>
        <w:t xml:space="preserve"> Strong, outcome-focused partnerships are critical to unlocking delivery.</w:t>
      </w:r>
      <w:r w:rsidR="00957DFE">
        <w:rPr>
          <w:rFonts w:eastAsia="Times New Roman" w:cs="Times New Roman"/>
          <w:kern w:val="0"/>
          <w:sz w:val="24"/>
          <w:szCs w:val="24"/>
          <w:lang w:eastAsia="en-GB"/>
          <w14:ligatures w14:val="none"/>
        </w:rPr>
        <w:t xml:space="preserve">  These partnerships need to be aligned on values and with a mindset of generating the investible pipeline together as opposed to a transactional, principal-agent relationship.</w:t>
      </w:r>
    </w:p>
    <w:p w14:paraId="657DC5E3" w14:textId="6F7F64E0" w:rsidR="00521C2F" w:rsidRPr="00957DFE" w:rsidRDefault="00957DFE" w:rsidP="00855C9C">
      <w:pPr>
        <w:spacing w:before="100" w:beforeAutospacing="1" w:after="0" w:line="276" w:lineRule="auto"/>
        <w:rPr>
          <w:rFonts w:eastAsia="Times New Roman" w:cs="Times New Roman"/>
          <w:b/>
          <w:bCs/>
          <w:kern w:val="0"/>
          <w:sz w:val="24"/>
          <w:szCs w:val="24"/>
          <w:lang w:eastAsia="en-GB"/>
          <w14:ligatures w14:val="none"/>
        </w:rPr>
      </w:pPr>
      <w:r w:rsidRPr="00957DFE">
        <w:rPr>
          <w:rFonts w:eastAsia="Times New Roman" w:cs="Times New Roman"/>
          <w:b/>
          <w:bCs/>
          <w:kern w:val="0"/>
          <w:sz w:val="24"/>
          <w:szCs w:val="24"/>
          <w:lang w:eastAsia="en-GB"/>
          <w14:ligatures w14:val="none"/>
        </w:rPr>
        <w:t>3. Workshop Summaries</w:t>
      </w:r>
    </w:p>
    <w:p w14:paraId="61A60E8D" w14:textId="6457CE7B" w:rsidR="00957DFE" w:rsidRPr="00855C9C" w:rsidRDefault="00957DFE" w:rsidP="00855C9C">
      <w:pPr>
        <w:spacing w:before="100" w:beforeAutospacing="1" w:after="0" w:line="276" w:lineRule="auto"/>
        <w:rPr>
          <w:rFonts w:eastAsia="Times New Roman" w:cs="Times New Roman"/>
          <w:b/>
          <w:bCs/>
          <w:kern w:val="0"/>
          <w:sz w:val="24"/>
          <w:szCs w:val="24"/>
          <w:lang w:eastAsia="en-GB"/>
          <w14:ligatures w14:val="none"/>
        </w:rPr>
      </w:pPr>
      <w:r w:rsidRPr="00855C9C">
        <w:rPr>
          <w:rFonts w:eastAsia="Times New Roman" w:cs="Times New Roman"/>
          <w:kern w:val="0"/>
          <w:sz w:val="24"/>
          <w:szCs w:val="24"/>
          <w:lang w:eastAsia="en-GB"/>
          <w14:ligatures w14:val="none"/>
        </w:rPr>
        <w:t xml:space="preserve">Over the course of the two-hour discussions, each of the workshops had deep discussions, spanning a wide range of topics.  A short summary of each therefore does not do justice to the richness of these discussions, however, below are a common summary of each workshop, with a focus on the key actions and follow-up </w:t>
      </w:r>
      <w:r>
        <w:rPr>
          <w:rFonts w:eastAsia="Times New Roman" w:cs="Times New Roman"/>
          <w:kern w:val="0"/>
          <w:sz w:val="24"/>
          <w:szCs w:val="24"/>
          <w:lang w:eastAsia="en-GB"/>
          <w14:ligatures w14:val="none"/>
        </w:rPr>
        <w:t xml:space="preserve">that </w:t>
      </w:r>
      <w:r w:rsidRPr="00855C9C">
        <w:rPr>
          <w:rFonts w:eastAsia="Times New Roman" w:cs="Times New Roman"/>
          <w:kern w:val="0"/>
          <w:sz w:val="24"/>
          <w:szCs w:val="24"/>
          <w:lang w:eastAsia="en-GB"/>
          <w14:ligatures w14:val="none"/>
        </w:rPr>
        <w:t>emerged.</w:t>
      </w:r>
    </w:p>
    <w:p w14:paraId="251D7440" w14:textId="6CC99796" w:rsidR="00521C2F" w:rsidRPr="00521C2F" w:rsidRDefault="00957DFE" w:rsidP="00855C9C">
      <w:pPr>
        <w:spacing w:before="100" w:beforeAutospacing="1" w:after="0" w:line="276" w:lineRule="auto"/>
        <w:rPr>
          <w:rFonts w:eastAsia="Times New Roman" w:cs="Times New Roman"/>
          <w:b/>
          <w:bCs/>
          <w:kern w:val="0"/>
          <w:sz w:val="24"/>
          <w:szCs w:val="24"/>
          <w:lang w:eastAsia="en-GB"/>
          <w14:ligatures w14:val="none"/>
        </w:rPr>
      </w:pPr>
      <w:r>
        <w:rPr>
          <w:rFonts w:eastAsia="Times New Roman" w:cs="Times New Roman"/>
          <w:b/>
          <w:bCs/>
          <w:kern w:val="0"/>
          <w:sz w:val="24"/>
          <w:szCs w:val="24"/>
          <w:lang w:eastAsia="en-GB"/>
          <w14:ligatures w14:val="none"/>
        </w:rPr>
        <w:t>3</w:t>
      </w:r>
      <w:r w:rsidR="00521C2F" w:rsidRPr="00521C2F">
        <w:rPr>
          <w:rFonts w:eastAsia="Times New Roman" w:cs="Times New Roman"/>
          <w:b/>
          <w:bCs/>
          <w:kern w:val="0"/>
          <w:sz w:val="24"/>
          <w:szCs w:val="24"/>
          <w:lang w:eastAsia="en-GB"/>
          <w14:ligatures w14:val="none"/>
        </w:rPr>
        <w:t>.1 Investment Models</w:t>
      </w:r>
    </w:p>
    <w:p w14:paraId="76018C78" w14:textId="77777777" w:rsidR="00521C2F" w:rsidRPr="00521C2F" w:rsidRDefault="00521C2F" w:rsidP="00855C9C">
      <w:pPr>
        <w:spacing w:before="100" w:beforeAutospacing="1" w:after="0" w:line="276" w:lineRule="auto"/>
        <w:rPr>
          <w:rFonts w:eastAsia="Times New Roman" w:cs="Times New Roman"/>
          <w:kern w:val="0"/>
          <w:sz w:val="24"/>
          <w:szCs w:val="24"/>
          <w:u w:val="single"/>
          <w:lang w:eastAsia="en-GB"/>
          <w14:ligatures w14:val="none"/>
        </w:rPr>
      </w:pPr>
      <w:r w:rsidRPr="00521C2F">
        <w:rPr>
          <w:rFonts w:eastAsia="Times New Roman" w:cs="Times New Roman"/>
          <w:kern w:val="0"/>
          <w:sz w:val="24"/>
          <w:szCs w:val="24"/>
          <w:u w:val="single"/>
          <w:lang w:eastAsia="en-GB"/>
          <w14:ligatures w14:val="none"/>
        </w:rPr>
        <w:t>Aims and Focus</w:t>
      </w:r>
    </w:p>
    <w:p w14:paraId="3476D3E7" w14:textId="77777777" w:rsidR="00521C2F" w:rsidRPr="00521C2F" w:rsidRDefault="00521C2F" w:rsidP="00855C9C">
      <w:p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This session explored how cities can develop revolving, place-based investment models capable of crowding in long-term private capital across multiple asset classes. The discussion focused on scale, governance, revenue generation, and the effective use of fiscal levers.</w:t>
      </w:r>
    </w:p>
    <w:p w14:paraId="4DAC0595" w14:textId="77777777" w:rsidR="00521C2F" w:rsidRPr="00521C2F" w:rsidRDefault="00521C2F" w:rsidP="00855C9C">
      <w:pPr>
        <w:spacing w:before="100" w:beforeAutospacing="1" w:after="0" w:line="276" w:lineRule="auto"/>
        <w:rPr>
          <w:rFonts w:eastAsia="Times New Roman" w:cs="Times New Roman"/>
          <w:kern w:val="0"/>
          <w:sz w:val="24"/>
          <w:szCs w:val="24"/>
          <w:u w:val="single"/>
          <w:lang w:eastAsia="en-GB"/>
          <w14:ligatures w14:val="none"/>
        </w:rPr>
      </w:pPr>
      <w:r w:rsidRPr="00521C2F">
        <w:rPr>
          <w:rFonts w:eastAsia="Times New Roman" w:cs="Times New Roman"/>
          <w:kern w:val="0"/>
          <w:sz w:val="24"/>
          <w:szCs w:val="24"/>
          <w:u w:val="single"/>
          <w:lang w:eastAsia="en-GB"/>
          <w14:ligatures w14:val="none"/>
        </w:rPr>
        <w:t>Summary of Discussion</w:t>
      </w:r>
    </w:p>
    <w:p w14:paraId="5B5EF59A" w14:textId="77777777" w:rsidR="00521C2F" w:rsidRPr="00521C2F" w:rsidRDefault="00521C2F" w:rsidP="00855C9C">
      <w:p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Participants broadly agreed that existing funding approaches remain too fragmented, short-term and project-specific, limiting the ability to attract institutional capital at scale. There was strong interest in moving toward fund-based models, where capital is deployed at programme level and recycled over time.</w:t>
      </w:r>
    </w:p>
    <w:p w14:paraId="6500F1EE" w14:textId="77777777" w:rsidR="00521C2F" w:rsidRPr="00521C2F" w:rsidRDefault="00521C2F" w:rsidP="00855C9C">
      <w:p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lastRenderedPageBreak/>
        <w:t>A central challenge is aligning public policy objectives—such as inclusive growth or affordable housing—with private sector return requirements. Many current models rely on a combination of subsidy and finance, but lack clarity on how long-term, sustainable returns can be generated and reinvested.</w:t>
      </w:r>
    </w:p>
    <w:p w14:paraId="704E2142" w14:textId="77777777" w:rsidR="00521C2F" w:rsidRPr="00521C2F" w:rsidRDefault="00521C2F" w:rsidP="00855C9C">
      <w:p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The discussion highlighted:</w:t>
      </w:r>
    </w:p>
    <w:p w14:paraId="005ECD1A" w14:textId="77777777" w:rsidR="00521C2F" w:rsidRPr="00521C2F" w:rsidRDefault="00521C2F" w:rsidP="00855C9C">
      <w:pPr>
        <w:numPr>
          <w:ilvl w:val="0"/>
          <w:numId w:val="3"/>
        </w:num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The importance of scale and aggregation, with individual projects often too small or complex to attract institutional investors</w:t>
      </w:r>
    </w:p>
    <w:p w14:paraId="4FEF161E" w14:textId="77777777" w:rsidR="00521C2F" w:rsidRPr="00521C2F" w:rsidRDefault="00521C2F" w:rsidP="00855C9C">
      <w:pPr>
        <w:numPr>
          <w:ilvl w:val="0"/>
          <w:numId w:val="3"/>
        </w:num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The need for clear, reliable revenue streams to underpin investment models</w:t>
      </w:r>
    </w:p>
    <w:p w14:paraId="2230552B" w14:textId="77777777" w:rsidR="00521C2F" w:rsidRPr="00521C2F" w:rsidRDefault="00521C2F" w:rsidP="00855C9C">
      <w:pPr>
        <w:numPr>
          <w:ilvl w:val="0"/>
          <w:numId w:val="3"/>
        </w:num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Challenges in governance, particularly balancing democratic accountability with commercial decision-making</w:t>
      </w:r>
    </w:p>
    <w:p w14:paraId="3340136F" w14:textId="6ADB53B7" w:rsidR="00521C2F" w:rsidRPr="00521C2F" w:rsidRDefault="00521C2F" w:rsidP="00855C9C">
      <w:pPr>
        <w:numPr>
          <w:ilvl w:val="0"/>
          <w:numId w:val="3"/>
        </w:num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The under-utilisation and complexity of existing fiscal levers (e.g. business rates retention, T</w:t>
      </w:r>
      <w:r w:rsidR="005179DF">
        <w:rPr>
          <w:rFonts w:eastAsia="Times New Roman" w:cs="Times New Roman"/>
          <w:kern w:val="0"/>
          <w:sz w:val="24"/>
          <w:szCs w:val="24"/>
          <w:lang w:eastAsia="en-GB"/>
          <w14:ligatures w14:val="none"/>
        </w:rPr>
        <w:t xml:space="preserve">ax </w:t>
      </w:r>
      <w:r w:rsidRPr="00521C2F">
        <w:rPr>
          <w:rFonts w:eastAsia="Times New Roman" w:cs="Times New Roman"/>
          <w:kern w:val="0"/>
          <w:sz w:val="24"/>
          <w:szCs w:val="24"/>
          <w:lang w:eastAsia="en-GB"/>
          <w14:ligatures w14:val="none"/>
        </w:rPr>
        <w:t>I</w:t>
      </w:r>
      <w:r w:rsidR="005179DF">
        <w:rPr>
          <w:rFonts w:eastAsia="Times New Roman" w:cs="Times New Roman"/>
          <w:kern w:val="0"/>
          <w:sz w:val="24"/>
          <w:szCs w:val="24"/>
          <w:lang w:eastAsia="en-GB"/>
          <w14:ligatures w14:val="none"/>
        </w:rPr>
        <w:t xml:space="preserve">ncrement </w:t>
      </w:r>
      <w:r w:rsidRPr="00521C2F">
        <w:rPr>
          <w:rFonts w:eastAsia="Times New Roman" w:cs="Times New Roman"/>
          <w:kern w:val="0"/>
          <w:sz w:val="24"/>
          <w:szCs w:val="24"/>
          <w:lang w:eastAsia="en-GB"/>
          <w14:ligatures w14:val="none"/>
        </w:rPr>
        <w:t>F</w:t>
      </w:r>
      <w:r w:rsidR="005179DF">
        <w:rPr>
          <w:rFonts w:eastAsia="Times New Roman" w:cs="Times New Roman"/>
          <w:kern w:val="0"/>
          <w:sz w:val="24"/>
          <w:szCs w:val="24"/>
          <w:lang w:eastAsia="en-GB"/>
          <w14:ligatures w14:val="none"/>
        </w:rPr>
        <w:t>inancing</w:t>
      </w:r>
      <w:r w:rsidRPr="00521C2F">
        <w:rPr>
          <w:rFonts w:eastAsia="Times New Roman" w:cs="Times New Roman"/>
          <w:kern w:val="0"/>
          <w:sz w:val="24"/>
          <w:szCs w:val="24"/>
          <w:lang w:eastAsia="en-GB"/>
          <w14:ligatures w14:val="none"/>
        </w:rPr>
        <w:t>)</w:t>
      </w:r>
    </w:p>
    <w:p w14:paraId="3C3667BC" w14:textId="77777777" w:rsidR="00521C2F" w:rsidRPr="00521C2F" w:rsidRDefault="00521C2F" w:rsidP="00855C9C">
      <w:p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There was also a recognition that while examples of place-based funds exist, replication and scaling remain limited, often due to capacity constraints and lack of standardised approaches.</w:t>
      </w:r>
    </w:p>
    <w:p w14:paraId="0E366C0B" w14:textId="77777777" w:rsidR="00521C2F" w:rsidRPr="00521C2F" w:rsidRDefault="00521C2F" w:rsidP="00855C9C">
      <w:pPr>
        <w:spacing w:before="100" w:beforeAutospacing="1" w:after="0" w:line="276" w:lineRule="auto"/>
        <w:rPr>
          <w:rFonts w:eastAsia="Times New Roman" w:cs="Times New Roman"/>
          <w:kern w:val="0"/>
          <w:sz w:val="24"/>
          <w:szCs w:val="24"/>
          <w:u w:val="single"/>
          <w:lang w:eastAsia="en-GB"/>
          <w14:ligatures w14:val="none"/>
        </w:rPr>
      </w:pPr>
      <w:r w:rsidRPr="00521C2F">
        <w:rPr>
          <w:rFonts w:eastAsia="Times New Roman" w:cs="Times New Roman"/>
          <w:kern w:val="0"/>
          <w:sz w:val="24"/>
          <w:szCs w:val="24"/>
          <w:u w:val="single"/>
          <w:lang w:eastAsia="en-GB"/>
          <w14:ligatures w14:val="none"/>
        </w:rPr>
        <w:t>Key Actions / Follow-Up</w:t>
      </w:r>
    </w:p>
    <w:p w14:paraId="58DBA62E" w14:textId="77777777" w:rsidR="00521C2F" w:rsidRPr="00521C2F" w:rsidRDefault="00521C2F" w:rsidP="00855C9C">
      <w:pPr>
        <w:numPr>
          <w:ilvl w:val="0"/>
          <w:numId w:val="4"/>
        </w:num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 xml:space="preserve">Develop a </w:t>
      </w:r>
      <w:r w:rsidRPr="00521C2F">
        <w:rPr>
          <w:rFonts w:eastAsia="Times New Roman" w:cs="Times New Roman"/>
          <w:b/>
          <w:bCs/>
          <w:kern w:val="0"/>
          <w:sz w:val="24"/>
          <w:szCs w:val="24"/>
          <w:lang w:eastAsia="en-GB"/>
          <w14:ligatures w14:val="none"/>
        </w:rPr>
        <w:t>proof-of-concept revolving investment model</w:t>
      </w:r>
      <w:r w:rsidRPr="00521C2F">
        <w:rPr>
          <w:rFonts w:eastAsia="Times New Roman" w:cs="Times New Roman"/>
          <w:kern w:val="0"/>
          <w:sz w:val="24"/>
          <w:szCs w:val="24"/>
          <w:lang w:eastAsia="en-GB"/>
          <w14:ligatures w14:val="none"/>
        </w:rPr>
        <w:t xml:space="preserve"> in one or more Core Cities to test scalability and replication.</w:t>
      </w:r>
    </w:p>
    <w:p w14:paraId="7D8317C9" w14:textId="77777777" w:rsidR="00521C2F" w:rsidRPr="00521C2F" w:rsidRDefault="00521C2F" w:rsidP="00855C9C">
      <w:pPr>
        <w:numPr>
          <w:ilvl w:val="0"/>
          <w:numId w:val="4"/>
        </w:num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 xml:space="preserve">Produce </w:t>
      </w:r>
      <w:r w:rsidRPr="00521C2F">
        <w:rPr>
          <w:rFonts w:eastAsia="Times New Roman" w:cs="Times New Roman"/>
          <w:b/>
          <w:bCs/>
          <w:kern w:val="0"/>
          <w:sz w:val="24"/>
          <w:szCs w:val="24"/>
          <w:lang w:eastAsia="en-GB"/>
          <w14:ligatures w14:val="none"/>
        </w:rPr>
        <w:t>practitioner guidance</w:t>
      </w:r>
      <w:r w:rsidRPr="00521C2F">
        <w:rPr>
          <w:rFonts w:eastAsia="Times New Roman" w:cs="Times New Roman"/>
          <w:kern w:val="0"/>
          <w:sz w:val="24"/>
          <w:szCs w:val="24"/>
          <w:lang w:eastAsia="en-GB"/>
          <w14:ligatures w14:val="none"/>
        </w:rPr>
        <w:t xml:space="preserve"> to bridge understanding between local authorities and investors on structuring and operating such funds.</w:t>
      </w:r>
    </w:p>
    <w:p w14:paraId="6FB41EBD" w14:textId="77777777" w:rsidR="00855C9C" w:rsidRDefault="00521C2F" w:rsidP="00855C9C">
      <w:pPr>
        <w:numPr>
          <w:ilvl w:val="0"/>
          <w:numId w:val="4"/>
        </w:num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 xml:space="preserve">Explore with Government how </w:t>
      </w:r>
      <w:r w:rsidRPr="00521C2F">
        <w:rPr>
          <w:rFonts w:eastAsia="Times New Roman" w:cs="Times New Roman"/>
          <w:b/>
          <w:bCs/>
          <w:kern w:val="0"/>
          <w:sz w:val="24"/>
          <w:szCs w:val="24"/>
          <w:lang w:eastAsia="en-GB"/>
          <w14:ligatures w14:val="none"/>
        </w:rPr>
        <w:t>existing and new fiscal levers</w:t>
      </w:r>
      <w:r w:rsidRPr="00521C2F">
        <w:rPr>
          <w:rFonts w:eastAsia="Times New Roman" w:cs="Times New Roman"/>
          <w:kern w:val="0"/>
          <w:sz w:val="24"/>
          <w:szCs w:val="24"/>
          <w:lang w:eastAsia="en-GB"/>
          <w14:ligatures w14:val="none"/>
        </w:rPr>
        <w:t xml:space="preserve"> can better support long-term, place-based investment models.</w:t>
      </w:r>
    </w:p>
    <w:p w14:paraId="5D728C2E" w14:textId="68A07BA4" w:rsidR="00521C2F" w:rsidRPr="00521C2F" w:rsidRDefault="00521C2F" w:rsidP="00855C9C">
      <w:pPr>
        <w:numPr>
          <w:ilvl w:val="0"/>
          <w:numId w:val="4"/>
        </w:num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 xml:space="preserve">Establish a </w:t>
      </w:r>
      <w:r w:rsidRPr="00521C2F">
        <w:rPr>
          <w:rFonts w:eastAsia="Times New Roman" w:cs="Times New Roman"/>
          <w:b/>
          <w:bCs/>
          <w:kern w:val="0"/>
          <w:sz w:val="24"/>
          <w:szCs w:val="24"/>
          <w:lang w:eastAsia="en-GB"/>
          <w14:ligatures w14:val="none"/>
        </w:rPr>
        <w:t>shared pipeline approach</w:t>
      </w:r>
      <w:r w:rsidRPr="00521C2F">
        <w:rPr>
          <w:rFonts w:eastAsia="Times New Roman" w:cs="Times New Roman"/>
          <w:kern w:val="0"/>
          <w:sz w:val="24"/>
          <w:szCs w:val="24"/>
          <w:lang w:eastAsia="en-GB"/>
          <w14:ligatures w14:val="none"/>
        </w:rPr>
        <w:t xml:space="preserve"> across cities to support aggregation and investor engagement.</w:t>
      </w:r>
    </w:p>
    <w:p w14:paraId="44BC7A29" w14:textId="6DB6D697" w:rsidR="00521C2F" w:rsidRPr="00521C2F" w:rsidRDefault="00957DFE" w:rsidP="00855C9C">
      <w:pPr>
        <w:spacing w:before="100" w:beforeAutospacing="1" w:after="0" w:line="276" w:lineRule="auto"/>
        <w:rPr>
          <w:rFonts w:eastAsia="Times New Roman" w:cs="Times New Roman"/>
          <w:b/>
          <w:bCs/>
          <w:kern w:val="0"/>
          <w:sz w:val="24"/>
          <w:szCs w:val="24"/>
          <w:lang w:eastAsia="en-GB"/>
          <w14:ligatures w14:val="none"/>
        </w:rPr>
      </w:pPr>
      <w:r w:rsidRPr="00855C9C">
        <w:rPr>
          <w:rFonts w:eastAsia="Times New Roman" w:cs="Times New Roman"/>
          <w:b/>
          <w:bCs/>
          <w:kern w:val="0"/>
          <w:sz w:val="24"/>
          <w:szCs w:val="24"/>
          <w:lang w:eastAsia="en-GB"/>
          <w14:ligatures w14:val="none"/>
        </w:rPr>
        <w:t>3</w:t>
      </w:r>
      <w:r w:rsidR="00521C2F" w:rsidRPr="00521C2F">
        <w:rPr>
          <w:rFonts w:eastAsia="Times New Roman" w:cs="Times New Roman"/>
          <w:b/>
          <w:bCs/>
          <w:kern w:val="0"/>
          <w:sz w:val="24"/>
          <w:szCs w:val="24"/>
          <w:lang w:eastAsia="en-GB"/>
          <w14:ligatures w14:val="none"/>
        </w:rPr>
        <w:t>.2 City Centre Office Development</w:t>
      </w:r>
    </w:p>
    <w:p w14:paraId="0DA75382" w14:textId="77777777" w:rsidR="00521C2F" w:rsidRPr="00521C2F" w:rsidRDefault="00521C2F" w:rsidP="00855C9C">
      <w:pPr>
        <w:spacing w:before="100" w:beforeAutospacing="1" w:after="0" w:line="276" w:lineRule="auto"/>
        <w:rPr>
          <w:rFonts w:eastAsia="Times New Roman" w:cs="Times New Roman"/>
          <w:kern w:val="0"/>
          <w:sz w:val="24"/>
          <w:szCs w:val="24"/>
          <w:u w:val="single"/>
          <w:lang w:eastAsia="en-GB"/>
          <w14:ligatures w14:val="none"/>
        </w:rPr>
      </w:pPr>
      <w:r w:rsidRPr="00521C2F">
        <w:rPr>
          <w:rFonts w:eastAsia="Times New Roman" w:cs="Times New Roman"/>
          <w:kern w:val="0"/>
          <w:sz w:val="24"/>
          <w:szCs w:val="24"/>
          <w:u w:val="single"/>
          <w:lang w:eastAsia="en-GB"/>
          <w14:ligatures w14:val="none"/>
        </w:rPr>
        <w:t>Aims and Focus</w:t>
      </w:r>
    </w:p>
    <w:p w14:paraId="673B692E" w14:textId="77777777" w:rsidR="00521C2F" w:rsidRPr="00521C2F" w:rsidRDefault="00521C2F" w:rsidP="00855C9C">
      <w:p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This session examined the market dynamics and viability challenges of delivering Grade A office space in city centres, and the role of public and private actors in bridging the viability gap.</w:t>
      </w:r>
    </w:p>
    <w:p w14:paraId="6D3F0A6F" w14:textId="77777777" w:rsidR="00521C2F" w:rsidRPr="00521C2F" w:rsidRDefault="00521C2F" w:rsidP="00855C9C">
      <w:pPr>
        <w:spacing w:before="100" w:beforeAutospacing="1" w:after="0" w:line="276" w:lineRule="auto"/>
        <w:rPr>
          <w:rFonts w:eastAsia="Times New Roman" w:cs="Times New Roman"/>
          <w:kern w:val="0"/>
          <w:sz w:val="24"/>
          <w:szCs w:val="24"/>
          <w:u w:val="single"/>
          <w:lang w:eastAsia="en-GB"/>
          <w14:ligatures w14:val="none"/>
        </w:rPr>
      </w:pPr>
      <w:r w:rsidRPr="00521C2F">
        <w:rPr>
          <w:rFonts w:eastAsia="Times New Roman" w:cs="Times New Roman"/>
          <w:kern w:val="0"/>
          <w:sz w:val="24"/>
          <w:szCs w:val="24"/>
          <w:u w:val="single"/>
          <w:lang w:eastAsia="en-GB"/>
          <w14:ligatures w14:val="none"/>
        </w:rPr>
        <w:t>Summary of Discussion</w:t>
      </w:r>
    </w:p>
    <w:p w14:paraId="268046C7" w14:textId="77777777" w:rsidR="00521C2F" w:rsidRPr="00521C2F" w:rsidRDefault="00521C2F" w:rsidP="00855C9C">
      <w:p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Participants were clear that city centre office development remains strategically important to national growth, supporting knowledge-intensive sectors, innovation ecosystems, and city centre vitality.</w:t>
      </w:r>
    </w:p>
    <w:p w14:paraId="2227FCE9" w14:textId="77777777" w:rsidR="00521C2F" w:rsidRPr="00521C2F" w:rsidRDefault="00521C2F" w:rsidP="00855C9C">
      <w:p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lastRenderedPageBreak/>
        <w:t>However, there was strong alignment that viability is the central constraint. Even in stronger markets, schemes are only marginally viable, while in other cities the gap between cost and value is substantial. This is driven by a combination of:</w:t>
      </w:r>
    </w:p>
    <w:p w14:paraId="731E4E75" w14:textId="77777777" w:rsidR="00521C2F" w:rsidRPr="00521C2F" w:rsidRDefault="00521C2F" w:rsidP="00855C9C">
      <w:pPr>
        <w:numPr>
          <w:ilvl w:val="0"/>
          <w:numId w:val="5"/>
        </w:num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High construction costs and constrained skills pipelines</w:t>
      </w:r>
    </w:p>
    <w:p w14:paraId="6CB4DA35" w14:textId="77777777" w:rsidR="00521C2F" w:rsidRPr="00521C2F" w:rsidRDefault="00521C2F" w:rsidP="00855C9C">
      <w:pPr>
        <w:numPr>
          <w:ilvl w:val="0"/>
          <w:numId w:val="5"/>
        </w:num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Investor requirements for pre-lets, strong covenants, and long-term income security</w:t>
      </w:r>
    </w:p>
    <w:p w14:paraId="71241F42" w14:textId="77777777" w:rsidR="00521C2F" w:rsidRPr="00521C2F" w:rsidRDefault="00521C2F" w:rsidP="00855C9C">
      <w:pPr>
        <w:numPr>
          <w:ilvl w:val="0"/>
          <w:numId w:val="5"/>
        </w:num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Lower rents and higher perceived risk outside London</w:t>
      </w:r>
    </w:p>
    <w:p w14:paraId="11D0187F" w14:textId="77777777" w:rsidR="00521C2F" w:rsidRPr="00521C2F" w:rsidRDefault="00521C2F" w:rsidP="00855C9C">
      <w:p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A key issue is that risk is currently concentrated within local authorities, whose balance sheets are increasingly constrained. Political and fiscal pressures limit their ability to take on further debt or long-term exposure.</w:t>
      </w:r>
    </w:p>
    <w:p w14:paraId="77487ACD" w14:textId="77777777" w:rsidR="00521C2F" w:rsidRPr="00521C2F" w:rsidRDefault="00521C2F" w:rsidP="00855C9C">
      <w:p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Participants also highlighted a structural mismatch between:</w:t>
      </w:r>
    </w:p>
    <w:p w14:paraId="329C134B" w14:textId="79FB522A" w:rsidR="00521C2F" w:rsidRPr="00521C2F" w:rsidRDefault="00521C2F" w:rsidP="00855C9C">
      <w:pPr>
        <w:numPr>
          <w:ilvl w:val="0"/>
          <w:numId w:val="6"/>
        </w:num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The SME-led growth model of many UK cities</w:t>
      </w:r>
      <w:r w:rsidR="00957DFE" w:rsidRPr="005179DF">
        <w:rPr>
          <w:rFonts w:eastAsia="Times New Roman" w:cs="Times New Roman"/>
          <w:kern w:val="0"/>
          <w:sz w:val="24"/>
          <w:szCs w:val="24"/>
          <w:lang w:eastAsia="en-GB"/>
          <w14:ligatures w14:val="none"/>
        </w:rPr>
        <w:t xml:space="preserve"> with a desire for flexible and short-term lease opportunities on office space.</w:t>
      </w:r>
    </w:p>
    <w:p w14:paraId="289CF1CC" w14:textId="65C9B6DB" w:rsidR="00521C2F" w:rsidRPr="00521C2F" w:rsidRDefault="00521C2F" w:rsidP="00855C9C">
      <w:pPr>
        <w:numPr>
          <w:ilvl w:val="0"/>
          <w:numId w:val="6"/>
        </w:num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The risk profile required by institutional investors, which favours large, secure occupiers</w:t>
      </w:r>
      <w:r w:rsidR="004C3C28" w:rsidRPr="005179DF">
        <w:rPr>
          <w:rFonts w:eastAsia="Times New Roman" w:cs="Times New Roman"/>
          <w:kern w:val="0"/>
          <w:sz w:val="24"/>
          <w:szCs w:val="24"/>
          <w:lang w:eastAsia="en-GB"/>
          <w14:ligatures w14:val="none"/>
        </w:rPr>
        <w:t xml:space="preserve"> over many years.</w:t>
      </w:r>
    </w:p>
    <w:p w14:paraId="27F4F8E0" w14:textId="40018206" w:rsidR="00521C2F" w:rsidRPr="00521C2F" w:rsidRDefault="004C3C28" w:rsidP="00855C9C">
      <w:pPr>
        <w:spacing w:before="100" w:beforeAutospacing="1" w:after="0" w:line="276" w:lineRule="auto"/>
        <w:rPr>
          <w:rFonts w:eastAsia="Times New Roman" w:cs="Times New Roman"/>
          <w:kern w:val="0"/>
          <w:sz w:val="24"/>
          <w:szCs w:val="24"/>
          <w:lang w:eastAsia="en-GB"/>
          <w14:ligatures w14:val="none"/>
        </w:rPr>
      </w:pPr>
      <w:r>
        <w:rPr>
          <w:rFonts w:eastAsia="Times New Roman" w:cs="Times New Roman"/>
          <w:kern w:val="0"/>
          <w:sz w:val="24"/>
          <w:szCs w:val="24"/>
          <w:lang w:eastAsia="en-GB"/>
          <w14:ligatures w14:val="none"/>
        </w:rPr>
        <w:t>One of the clear conclusions from the discussion was that t</w:t>
      </w:r>
      <w:r w:rsidR="00521C2F" w:rsidRPr="00521C2F">
        <w:rPr>
          <w:rFonts w:eastAsia="Times New Roman" w:cs="Times New Roman"/>
          <w:kern w:val="0"/>
          <w:sz w:val="24"/>
          <w:szCs w:val="24"/>
          <w:lang w:eastAsia="en-GB"/>
          <w14:ligatures w14:val="none"/>
        </w:rPr>
        <w:t>here is currently no clear national institution with a mandate to take or share risk in commercial office development at scale.</w:t>
      </w:r>
    </w:p>
    <w:p w14:paraId="7BFC7413" w14:textId="77777777" w:rsidR="00521C2F" w:rsidRPr="00521C2F" w:rsidRDefault="00521C2F" w:rsidP="00855C9C">
      <w:p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Improved data sharing and coordination—particularly around occupier demand and growth pipelines—was identified as a potential way to reduce perceived risk and improve market confidence.</w:t>
      </w:r>
    </w:p>
    <w:p w14:paraId="1EFE00C7" w14:textId="77777777" w:rsidR="00521C2F" w:rsidRPr="00521C2F" w:rsidRDefault="00521C2F" w:rsidP="00855C9C">
      <w:pPr>
        <w:spacing w:before="100" w:beforeAutospacing="1" w:after="0" w:line="276" w:lineRule="auto"/>
        <w:rPr>
          <w:rFonts w:eastAsia="Times New Roman" w:cs="Times New Roman"/>
          <w:kern w:val="0"/>
          <w:sz w:val="24"/>
          <w:szCs w:val="24"/>
          <w:u w:val="single"/>
          <w:lang w:eastAsia="en-GB"/>
          <w14:ligatures w14:val="none"/>
        </w:rPr>
      </w:pPr>
      <w:r w:rsidRPr="00521C2F">
        <w:rPr>
          <w:rFonts w:eastAsia="Times New Roman" w:cs="Times New Roman"/>
          <w:kern w:val="0"/>
          <w:sz w:val="24"/>
          <w:szCs w:val="24"/>
          <w:u w:val="single"/>
          <w:lang w:eastAsia="en-GB"/>
          <w14:ligatures w14:val="none"/>
        </w:rPr>
        <w:t>Key Actions / Follow-Up</w:t>
      </w:r>
    </w:p>
    <w:p w14:paraId="0AB79F3B" w14:textId="77777777" w:rsidR="00855C9C" w:rsidRDefault="00521C2F" w:rsidP="00855C9C">
      <w:pPr>
        <w:numPr>
          <w:ilvl w:val="0"/>
          <w:numId w:val="7"/>
        </w:num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 xml:space="preserve">Explore options for a </w:t>
      </w:r>
      <w:r w:rsidRPr="00521C2F">
        <w:rPr>
          <w:rFonts w:eastAsia="Times New Roman" w:cs="Times New Roman"/>
          <w:b/>
          <w:bCs/>
          <w:kern w:val="0"/>
          <w:sz w:val="24"/>
          <w:szCs w:val="24"/>
          <w:lang w:eastAsia="en-GB"/>
          <w14:ligatures w14:val="none"/>
        </w:rPr>
        <w:t>national or regional risk-sharing mechanism</w:t>
      </w:r>
      <w:r w:rsidRPr="00521C2F">
        <w:rPr>
          <w:rFonts w:eastAsia="Times New Roman" w:cs="Times New Roman"/>
          <w:kern w:val="0"/>
          <w:sz w:val="24"/>
          <w:szCs w:val="24"/>
          <w:lang w:eastAsia="en-GB"/>
          <w14:ligatures w14:val="none"/>
        </w:rPr>
        <w:t xml:space="preserve"> to support office development (e.g. through Public Finance Institutions).</w:t>
      </w:r>
    </w:p>
    <w:p w14:paraId="5CE89F12" w14:textId="77777777" w:rsidR="00855C9C" w:rsidRDefault="00521C2F" w:rsidP="00855C9C">
      <w:pPr>
        <w:numPr>
          <w:ilvl w:val="0"/>
          <w:numId w:val="7"/>
        </w:num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 xml:space="preserve">Improve </w:t>
      </w:r>
      <w:r w:rsidRPr="00521C2F">
        <w:rPr>
          <w:rFonts w:eastAsia="Times New Roman" w:cs="Times New Roman"/>
          <w:b/>
          <w:bCs/>
          <w:kern w:val="0"/>
          <w:sz w:val="24"/>
          <w:szCs w:val="24"/>
          <w:lang w:eastAsia="en-GB"/>
          <w14:ligatures w14:val="none"/>
        </w:rPr>
        <w:t>data and market intelligence sharing</w:t>
      </w:r>
      <w:r w:rsidRPr="00521C2F">
        <w:rPr>
          <w:rFonts w:eastAsia="Times New Roman" w:cs="Times New Roman"/>
          <w:kern w:val="0"/>
          <w:sz w:val="24"/>
          <w:szCs w:val="24"/>
          <w:lang w:eastAsia="en-GB"/>
          <w14:ligatures w14:val="none"/>
        </w:rPr>
        <w:t xml:space="preserve"> between cities, investors and government to reduce information asymmetry.</w:t>
      </w:r>
    </w:p>
    <w:p w14:paraId="09A8FE10" w14:textId="77777777" w:rsidR="00855C9C" w:rsidRDefault="00521C2F" w:rsidP="00855C9C">
      <w:pPr>
        <w:numPr>
          <w:ilvl w:val="0"/>
          <w:numId w:val="7"/>
        </w:num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 xml:space="preserve">Develop </w:t>
      </w:r>
      <w:r w:rsidRPr="00521C2F">
        <w:rPr>
          <w:rFonts w:eastAsia="Times New Roman" w:cs="Times New Roman"/>
          <w:b/>
          <w:bCs/>
          <w:kern w:val="0"/>
          <w:sz w:val="24"/>
          <w:szCs w:val="24"/>
          <w:lang w:eastAsia="en-GB"/>
          <w14:ligatures w14:val="none"/>
        </w:rPr>
        <w:t>models to support SME occupation</w:t>
      </w:r>
      <w:r w:rsidRPr="00521C2F">
        <w:rPr>
          <w:rFonts w:eastAsia="Times New Roman" w:cs="Times New Roman"/>
          <w:kern w:val="0"/>
          <w:sz w:val="24"/>
          <w:szCs w:val="24"/>
          <w:lang w:eastAsia="en-GB"/>
          <w14:ligatures w14:val="none"/>
        </w:rPr>
        <w:t>, including more flexible lease structures and covenant support mechanisms.</w:t>
      </w:r>
    </w:p>
    <w:p w14:paraId="6E324F51" w14:textId="77777777" w:rsidR="00855C9C" w:rsidRDefault="00521C2F" w:rsidP="00855C9C">
      <w:pPr>
        <w:numPr>
          <w:ilvl w:val="0"/>
          <w:numId w:val="7"/>
        </w:num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 xml:space="preserve">Build on existing examples of </w:t>
      </w:r>
      <w:r w:rsidRPr="00521C2F">
        <w:rPr>
          <w:rFonts w:eastAsia="Times New Roman" w:cs="Times New Roman"/>
          <w:b/>
          <w:bCs/>
          <w:kern w:val="0"/>
          <w:sz w:val="24"/>
          <w:szCs w:val="24"/>
          <w:lang w:eastAsia="en-GB"/>
          <w14:ligatures w14:val="none"/>
        </w:rPr>
        <w:t>targeted public funding</w:t>
      </w:r>
      <w:r w:rsidRPr="00521C2F">
        <w:rPr>
          <w:rFonts w:eastAsia="Times New Roman" w:cs="Times New Roman"/>
          <w:kern w:val="0"/>
          <w:sz w:val="24"/>
          <w:szCs w:val="24"/>
          <w:lang w:eastAsia="en-GB"/>
          <w14:ligatures w14:val="none"/>
        </w:rPr>
        <w:t xml:space="preserve"> to address viability gaps and unlock delivery.</w:t>
      </w:r>
    </w:p>
    <w:p w14:paraId="09ACEADD" w14:textId="77777777" w:rsidR="00855C9C" w:rsidRDefault="00855C9C" w:rsidP="00855C9C">
      <w:pPr>
        <w:spacing w:before="100" w:beforeAutospacing="1" w:after="0" w:line="276" w:lineRule="auto"/>
        <w:rPr>
          <w:rFonts w:eastAsia="Times New Roman" w:cs="Times New Roman"/>
          <w:b/>
          <w:bCs/>
          <w:kern w:val="0"/>
          <w:sz w:val="24"/>
          <w:szCs w:val="24"/>
          <w:lang w:eastAsia="en-GB"/>
          <w14:ligatures w14:val="none"/>
        </w:rPr>
      </w:pPr>
    </w:p>
    <w:p w14:paraId="22968C45" w14:textId="77777777" w:rsidR="00855C9C" w:rsidRDefault="00855C9C" w:rsidP="00855C9C">
      <w:pPr>
        <w:spacing w:before="100" w:beforeAutospacing="1" w:after="0" w:line="276" w:lineRule="auto"/>
        <w:rPr>
          <w:rFonts w:eastAsia="Times New Roman" w:cs="Times New Roman"/>
          <w:b/>
          <w:bCs/>
          <w:kern w:val="0"/>
          <w:sz w:val="24"/>
          <w:szCs w:val="24"/>
          <w:lang w:eastAsia="en-GB"/>
          <w14:ligatures w14:val="none"/>
        </w:rPr>
      </w:pPr>
    </w:p>
    <w:p w14:paraId="4D8A1FFE" w14:textId="7C51E164" w:rsidR="00855C9C" w:rsidRPr="00855C9C" w:rsidRDefault="00855C9C" w:rsidP="00855C9C">
      <w:pPr>
        <w:spacing w:before="100" w:beforeAutospacing="1" w:after="0" w:line="276" w:lineRule="auto"/>
        <w:rPr>
          <w:rFonts w:eastAsia="Times New Roman" w:cs="Times New Roman"/>
          <w:kern w:val="0"/>
          <w:sz w:val="24"/>
          <w:szCs w:val="24"/>
          <w:lang w:eastAsia="en-GB"/>
          <w14:ligatures w14:val="none"/>
        </w:rPr>
      </w:pPr>
      <w:r>
        <w:rPr>
          <w:rFonts w:eastAsia="Times New Roman" w:cs="Times New Roman"/>
          <w:b/>
          <w:bCs/>
          <w:kern w:val="0"/>
          <w:sz w:val="24"/>
          <w:szCs w:val="24"/>
          <w:lang w:eastAsia="en-GB"/>
          <w14:ligatures w14:val="none"/>
        </w:rPr>
        <w:lastRenderedPageBreak/>
        <w:t>3.3</w:t>
      </w:r>
      <w:r w:rsidR="00521C2F" w:rsidRPr="00521C2F">
        <w:rPr>
          <w:rFonts w:eastAsia="Times New Roman" w:cs="Times New Roman"/>
          <w:b/>
          <w:bCs/>
          <w:kern w:val="0"/>
          <w:sz w:val="24"/>
          <w:szCs w:val="24"/>
          <w:lang w:eastAsia="en-GB"/>
          <w14:ligatures w14:val="none"/>
        </w:rPr>
        <w:t xml:space="preserve"> High Density Urban Housing</w:t>
      </w:r>
    </w:p>
    <w:p w14:paraId="1383FFD7" w14:textId="4E78689B" w:rsidR="00855C9C" w:rsidRDefault="00521C2F" w:rsidP="00855C9C">
      <w:pPr>
        <w:spacing w:before="100" w:beforeAutospacing="1" w:after="0" w:line="276" w:lineRule="auto"/>
        <w:rPr>
          <w:rFonts w:eastAsia="Times New Roman" w:cs="Times New Roman"/>
          <w:kern w:val="0"/>
          <w:sz w:val="24"/>
          <w:szCs w:val="24"/>
          <w:u w:val="single"/>
          <w:lang w:eastAsia="en-GB"/>
          <w14:ligatures w14:val="none"/>
        </w:rPr>
      </w:pPr>
      <w:r w:rsidRPr="00521C2F">
        <w:rPr>
          <w:rFonts w:eastAsia="Times New Roman" w:cs="Times New Roman"/>
          <w:kern w:val="0"/>
          <w:sz w:val="24"/>
          <w:szCs w:val="24"/>
          <w:u w:val="single"/>
          <w:lang w:eastAsia="en-GB"/>
          <w14:ligatures w14:val="none"/>
        </w:rPr>
        <w:t>Aims and Focus</w:t>
      </w:r>
    </w:p>
    <w:p w14:paraId="2680B680" w14:textId="1BBF4342" w:rsidR="00521C2F" w:rsidRPr="00521C2F" w:rsidRDefault="00521C2F" w:rsidP="00855C9C">
      <w:pPr>
        <w:spacing w:before="100" w:beforeAutospacing="1" w:after="0" w:line="276" w:lineRule="auto"/>
        <w:rPr>
          <w:rFonts w:eastAsia="Times New Roman" w:cs="Times New Roman"/>
          <w:kern w:val="0"/>
          <w:sz w:val="24"/>
          <w:szCs w:val="24"/>
          <w:u w:val="single"/>
          <w:lang w:eastAsia="en-GB"/>
          <w14:ligatures w14:val="none"/>
        </w:rPr>
      </w:pPr>
      <w:r w:rsidRPr="00521C2F">
        <w:rPr>
          <w:rFonts w:eastAsia="Times New Roman" w:cs="Times New Roman"/>
          <w:kern w:val="0"/>
          <w:sz w:val="24"/>
          <w:szCs w:val="24"/>
          <w:lang w:eastAsia="en-GB"/>
          <w14:ligatures w14:val="none"/>
        </w:rPr>
        <w:t>This session focused on the challenges of delivering high-density housing at scale in city centres, including issues of viability, tenure mix, infrastructure, and delivery models.</w:t>
      </w:r>
    </w:p>
    <w:p w14:paraId="32E61628" w14:textId="49FA8BCF" w:rsidR="00521C2F" w:rsidRPr="00521C2F" w:rsidRDefault="00521C2F" w:rsidP="00855C9C">
      <w:pPr>
        <w:spacing w:before="100" w:beforeAutospacing="1" w:after="0" w:line="276" w:lineRule="auto"/>
        <w:rPr>
          <w:rFonts w:eastAsia="Times New Roman" w:cs="Times New Roman"/>
          <w:kern w:val="0"/>
          <w:sz w:val="24"/>
          <w:szCs w:val="24"/>
          <w:u w:val="single"/>
          <w:lang w:eastAsia="en-GB"/>
          <w14:ligatures w14:val="none"/>
        </w:rPr>
      </w:pPr>
      <w:r w:rsidRPr="00521C2F">
        <w:rPr>
          <w:rFonts w:eastAsia="Times New Roman" w:cs="Times New Roman"/>
          <w:kern w:val="0"/>
          <w:sz w:val="24"/>
          <w:szCs w:val="24"/>
          <w:u w:val="single"/>
          <w:lang w:eastAsia="en-GB"/>
          <w14:ligatures w14:val="none"/>
        </w:rPr>
        <w:t>Summary of Discussion</w:t>
      </w:r>
    </w:p>
    <w:p w14:paraId="3FDA6BB1" w14:textId="77777777" w:rsidR="00855C9C" w:rsidRDefault="00521C2F" w:rsidP="00855C9C">
      <w:p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 xml:space="preserve">There was strong consensus that high-density urban housing is essential to meeting national housing need but is significantly </w:t>
      </w:r>
      <w:proofErr w:type="gramStart"/>
      <w:r w:rsidRPr="00521C2F">
        <w:rPr>
          <w:rFonts w:eastAsia="Times New Roman" w:cs="Times New Roman"/>
          <w:kern w:val="0"/>
          <w:sz w:val="24"/>
          <w:szCs w:val="24"/>
          <w:lang w:eastAsia="en-GB"/>
          <w14:ligatures w14:val="none"/>
        </w:rPr>
        <w:t>more complex and risky</w:t>
      </w:r>
      <w:proofErr w:type="gramEnd"/>
      <w:r w:rsidRPr="00521C2F">
        <w:rPr>
          <w:rFonts w:eastAsia="Times New Roman" w:cs="Times New Roman"/>
          <w:kern w:val="0"/>
          <w:sz w:val="24"/>
          <w:szCs w:val="24"/>
          <w:lang w:eastAsia="en-GB"/>
          <w14:ligatures w14:val="none"/>
        </w:rPr>
        <w:t xml:space="preserve"> to deliver than lower-density development.</w:t>
      </w:r>
    </w:p>
    <w:p w14:paraId="795689CC" w14:textId="69A37C0A" w:rsidR="00521C2F" w:rsidRPr="00521C2F" w:rsidRDefault="00521C2F" w:rsidP="00855C9C">
      <w:p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The primary constraint is again viability, driven by:</w:t>
      </w:r>
    </w:p>
    <w:p w14:paraId="07F14781" w14:textId="77777777" w:rsidR="00521C2F" w:rsidRPr="00855C9C" w:rsidRDefault="00521C2F" w:rsidP="00855C9C">
      <w:pPr>
        <w:pStyle w:val="ListParagraph"/>
        <w:numPr>
          <w:ilvl w:val="0"/>
          <w:numId w:val="21"/>
        </w:numPr>
        <w:spacing w:after="0" w:line="276" w:lineRule="auto"/>
        <w:rPr>
          <w:rFonts w:eastAsia="Times New Roman" w:cs="Times New Roman"/>
          <w:kern w:val="0"/>
          <w:sz w:val="24"/>
          <w:szCs w:val="24"/>
          <w:lang w:eastAsia="en-GB"/>
          <w14:ligatures w14:val="none"/>
        </w:rPr>
      </w:pPr>
      <w:r w:rsidRPr="00855C9C">
        <w:rPr>
          <w:rFonts w:eastAsia="Times New Roman" w:cs="Times New Roman"/>
          <w:kern w:val="0"/>
          <w:sz w:val="24"/>
          <w:szCs w:val="24"/>
          <w:lang w:eastAsia="en-GB"/>
          <w14:ligatures w14:val="none"/>
        </w:rPr>
        <w:t>High upfront costs (land assembly, remediation, infrastructure)</w:t>
      </w:r>
    </w:p>
    <w:p w14:paraId="4E50E506" w14:textId="77777777" w:rsidR="00521C2F" w:rsidRPr="00855C9C" w:rsidRDefault="00521C2F" w:rsidP="00855C9C">
      <w:pPr>
        <w:pStyle w:val="ListParagraph"/>
        <w:numPr>
          <w:ilvl w:val="0"/>
          <w:numId w:val="21"/>
        </w:numPr>
        <w:spacing w:after="0" w:line="276" w:lineRule="auto"/>
        <w:rPr>
          <w:rFonts w:eastAsia="Times New Roman" w:cs="Times New Roman"/>
          <w:kern w:val="0"/>
          <w:sz w:val="24"/>
          <w:szCs w:val="24"/>
          <w:lang w:eastAsia="en-GB"/>
          <w14:ligatures w14:val="none"/>
        </w:rPr>
      </w:pPr>
      <w:r w:rsidRPr="00855C9C">
        <w:rPr>
          <w:rFonts w:eastAsia="Times New Roman" w:cs="Times New Roman"/>
          <w:kern w:val="0"/>
          <w:sz w:val="24"/>
          <w:szCs w:val="24"/>
          <w:lang w:eastAsia="en-GB"/>
          <w14:ligatures w14:val="none"/>
        </w:rPr>
        <w:t>Longer development timelines and increased construction complexity</w:t>
      </w:r>
    </w:p>
    <w:p w14:paraId="106EE3C2" w14:textId="77777777" w:rsidR="00521C2F" w:rsidRDefault="00521C2F" w:rsidP="00855C9C">
      <w:pPr>
        <w:pStyle w:val="ListParagraph"/>
        <w:numPr>
          <w:ilvl w:val="0"/>
          <w:numId w:val="21"/>
        </w:numPr>
        <w:spacing w:after="0" w:line="276" w:lineRule="auto"/>
        <w:rPr>
          <w:rFonts w:eastAsia="Times New Roman" w:cs="Times New Roman"/>
          <w:kern w:val="0"/>
          <w:sz w:val="24"/>
          <w:szCs w:val="24"/>
          <w:lang w:eastAsia="en-GB"/>
          <w14:ligatures w14:val="none"/>
        </w:rPr>
      </w:pPr>
      <w:r w:rsidRPr="00855C9C">
        <w:rPr>
          <w:rFonts w:eastAsia="Times New Roman" w:cs="Times New Roman"/>
          <w:kern w:val="0"/>
          <w:sz w:val="24"/>
          <w:szCs w:val="24"/>
          <w:lang w:eastAsia="en-GB"/>
          <w14:ligatures w14:val="none"/>
        </w:rPr>
        <w:t>The need to balance commercial returns with delivery of affordable housing</w:t>
      </w:r>
    </w:p>
    <w:p w14:paraId="09245562" w14:textId="77777777" w:rsidR="00521C2F" w:rsidRPr="00521C2F" w:rsidRDefault="00521C2F" w:rsidP="00855C9C">
      <w:p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Participants highlighted the difficulty of funding associated infrastructure and public goods, with developer contributions increasingly constrained and local authorities unable to fill the gap.</w:t>
      </w:r>
    </w:p>
    <w:p w14:paraId="6FFF64CE" w14:textId="376A8FA1" w:rsidR="00521C2F" w:rsidRPr="00521C2F" w:rsidRDefault="00521C2F" w:rsidP="00855C9C">
      <w:p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Market dynamics are also distorting delivery, with purpose-built student accommodation (PBSA) often crowding out other tenures due to stronger returns.</w:t>
      </w:r>
      <w:r w:rsidR="00855C9C">
        <w:rPr>
          <w:rFonts w:eastAsia="Times New Roman" w:cs="Times New Roman"/>
          <w:kern w:val="0"/>
          <w:sz w:val="24"/>
          <w:szCs w:val="24"/>
          <w:lang w:eastAsia="en-GB"/>
          <w14:ligatures w14:val="none"/>
        </w:rPr>
        <w:t xml:space="preserve">  </w:t>
      </w:r>
      <w:r w:rsidRPr="00521C2F">
        <w:rPr>
          <w:rFonts w:eastAsia="Times New Roman" w:cs="Times New Roman"/>
          <w:kern w:val="0"/>
          <w:sz w:val="24"/>
          <w:szCs w:val="24"/>
          <w:lang w:eastAsia="en-GB"/>
          <w14:ligatures w14:val="none"/>
        </w:rPr>
        <w:t>There was a strong emphasis on:</w:t>
      </w:r>
    </w:p>
    <w:p w14:paraId="33CB2E78" w14:textId="77777777" w:rsidR="00521C2F" w:rsidRPr="005179DF" w:rsidRDefault="00521C2F" w:rsidP="00855C9C">
      <w:pPr>
        <w:pStyle w:val="ListParagraph"/>
        <w:numPr>
          <w:ilvl w:val="0"/>
          <w:numId w:val="22"/>
        </w:numPr>
        <w:spacing w:after="0" w:line="276" w:lineRule="auto"/>
        <w:rPr>
          <w:rFonts w:eastAsia="Times New Roman" w:cs="Times New Roman"/>
          <w:kern w:val="0"/>
          <w:sz w:val="24"/>
          <w:szCs w:val="24"/>
          <w:lang w:eastAsia="en-GB"/>
          <w14:ligatures w14:val="none"/>
        </w:rPr>
      </w:pPr>
      <w:r w:rsidRPr="005179DF">
        <w:rPr>
          <w:rFonts w:eastAsia="Times New Roman" w:cs="Times New Roman"/>
          <w:kern w:val="0"/>
          <w:sz w:val="24"/>
          <w:szCs w:val="24"/>
          <w:lang w:eastAsia="en-GB"/>
          <w14:ligatures w14:val="none"/>
        </w:rPr>
        <w:t>The limited capacity of local authorities to develop and manage complex schemes</w:t>
      </w:r>
    </w:p>
    <w:p w14:paraId="14C28059" w14:textId="77777777" w:rsidR="00521C2F" w:rsidRPr="005179DF" w:rsidRDefault="00521C2F" w:rsidP="00855C9C">
      <w:pPr>
        <w:pStyle w:val="ListParagraph"/>
        <w:numPr>
          <w:ilvl w:val="0"/>
          <w:numId w:val="22"/>
        </w:numPr>
        <w:spacing w:after="0" w:line="276" w:lineRule="auto"/>
        <w:rPr>
          <w:rFonts w:eastAsia="Times New Roman" w:cs="Times New Roman"/>
          <w:kern w:val="0"/>
          <w:sz w:val="24"/>
          <w:szCs w:val="24"/>
          <w:lang w:eastAsia="en-GB"/>
          <w14:ligatures w14:val="none"/>
        </w:rPr>
      </w:pPr>
      <w:r w:rsidRPr="005179DF">
        <w:rPr>
          <w:rFonts w:eastAsia="Times New Roman" w:cs="Times New Roman"/>
          <w:kern w:val="0"/>
          <w:sz w:val="24"/>
          <w:szCs w:val="24"/>
          <w:lang w:eastAsia="en-GB"/>
          <w14:ligatures w14:val="none"/>
        </w:rPr>
        <w:t>Skills shortages and market concentration in the construction sector</w:t>
      </w:r>
    </w:p>
    <w:p w14:paraId="1858C877" w14:textId="77777777" w:rsidR="00855C9C" w:rsidRPr="005179DF" w:rsidRDefault="00521C2F" w:rsidP="00855C9C">
      <w:pPr>
        <w:pStyle w:val="ListParagraph"/>
        <w:numPr>
          <w:ilvl w:val="0"/>
          <w:numId w:val="22"/>
        </w:numPr>
        <w:spacing w:after="0" w:line="276" w:lineRule="auto"/>
        <w:rPr>
          <w:rFonts w:eastAsia="Times New Roman" w:cs="Times New Roman"/>
          <w:kern w:val="0"/>
          <w:sz w:val="24"/>
          <w:szCs w:val="24"/>
          <w:lang w:eastAsia="en-GB"/>
          <w14:ligatures w14:val="none"/>
        </w:rPr>
      </w:pPr>
      <w:r w:rsidRPr="005179DF">
        <w:rPr>
          <w:rFonts w:eastAsia="Times New Roman" w:cs="Times New Roman"/>
          <w:kern w:val="0"/>
          <w:sz w:val="24"/>
          <w:szCs w:val="24"/>
          <w:lang w:eastAsia="en-GB"/>
          <w14:ligatures w14:val="none"/>
        </w:rPr>
        <w:t>Political and public resistance to higher-density development</w:t>
      </w:r>
    </w:p>
    <w:p w14:paraId="27F61945" w14:textId="48419E0A" w:rsidR="00855C9C" w:rsidRPr="00855C9C" w:rsidRDefault="00521C2F" w:rsidP="00855C9C">
      <w:pPr>
        <w:pStyle w:val="ListParagraph"/>
        <w:numPr>
          <w:ilvl w:val="0"/>
          <w:numId w:val="22"/>
        </w:numPr>
        <w:spacing w:after="0" w:line="276" w:lineRule="auto"/>
        <w:rPr>
          <w:rFonts w:eastAsia="Times New Roman" w:cs="Times New Roman"/>
          <w:kern w:val="0"/>
          <w:sz w:val="24"/>
          <w:szCs w:val="24"/>
          <w:lang w:eastAsia="en-GB"/>
          <w14:ligatures w14:val="none"/>
        </w:rPr>
      </w:pPr>
      <w:r w:rsidRPr="005179DF">
        <w:rPr>
          <w:rFonts w:eastAsia="Times New Roman" w:cs="Times New Roman"/>
          <w:kern w:val="0"/>
          <w:sz w:val="24"/>
          <w:szCs w:val="24"/>
          <w:lang w:eastAsia="en-GB"/>
          <w14:ligatures w14:val="none"/>
        </w:rPr>
        <w:t>In the solutions discussion, there was a clear shift toward blended finance models, long-term funding certainty, and more strategic approaches to land and infrastructure</w:t>
      </w:r>
      <w:r w:rsidRPr="00855C9C">
        <w:rPr>
          <w:rFonts w:eastAsia="Times New Roman" w:cs="Times New Roman"/>
          <w:kern w:val="0"/>
          <w:sz w:val="24"/>
          <w:szCs w:val="24"/>
          <w:u w:val="single"/>
          <w:lang w:eastAsia="en-GB"/>
          <w14:ligatures w14:val="none"/>
        </w:rPr>
        <w:t>.</w:t>
      </w:r>
    </w:p>
    <w:p w14:paraId="73474EC2" w14:textId="4950B7EE" w:rsidR="00521C2F" w:rsidRPr="00855C9C" w:rsidRDefault="00521C2F" w:rsidP="00855C9C">
      <w:pPr>
        <w:spacing w:before="100" w:beforeAutospacing="1" w:after="0" w:line="276" w:lineRule="auto"/>
        <w:rPr>
          <w:rFonts w:eastAsia="Times New Roman" w:cs="Times New Roman"/>
          <w:kern w:val="0"/>
          <w:sz w:val="24"/>
          <w:szCs w:val="24"/>
          <w:u w:val="single"/>
          <w:lang w:eastAsia="en-GB"/>
          <w14:ligatures w14:val="none"/>
        </w:rPr>
      </w:pPr>
      <w:r w:rsidRPr="00855C9C">
        <w:rPr>
          <w:rFonts w:eastAsia="Times New Roman" w:cs="Times New Roman"/>
          <w:kern w:val="0"/>
          <w:sz w:val="24"/>
          <w:szCs w:val="24"/>
          <w:u w:val="single"/>
          <w:lang w:eastAsia="en-GB"/>
          <w14:ligatures w14:val="none"/>
        </w:rPr>
        <w:t>Key Actions / Follow-Up</w:t>
      </w:r>
    </w:p>
    <w:p w14:paraId="11A54AB6" w14:textId="77777777" w:rsidR="00521C2F" w:rsidRPr="00855C9C" w:rsidRDefault="00521C2F" w:rsidP="00855C9C">
      <w:pPr>
        <w:spacing w:before="100" w:beforeAutospacing="1" w:after="0" w:line="276" w:lineRule="auto"/>
        <w:rPr>
          <w:rFonts w:eastAsia="Times New Roman" w:cs="Times New Roman"/>
          <w:kern w:val="0"/>
          <w:sz w:val="24"/>
          <w:szCs w:val="24"/>
          <w:lang w:eastAsia="en-GB"/>
          <w14:ligatures w14:val="none"/>
        </w:rPr>
      </w:pPr>
      <w:r w:rsidRPr="00855C9C">
        <w:rPr>
          <w:rFonts w:eastAsia="Times New Roman" w:cs="Times New Roman"/>
          <w:kern w:val="0"/>
          <w:sz w:val="24"/>
          <w:szCs w:val="24"/>
          <w:lang w:eastAsia="en-GB"/>
          <w14:ligatures w14:val="none"/>
        </w:rPr>
        <w:t>Advance work on blended finance and guarantee mechanisms to de-risk high-density housing delivery.</w:t>
      </w:r>
    </w:p>
    <w:p w14:paraId="0D2FE0B1" w14:textId="77777777" w:rsidR="00521C2F" w:rsidRPr="00855C9C" w:rsidRDefault="00521C2F" w:rsidP="005179DF">
      <w:pPr>
        <w:pStyle w:val="ListParagraph"/>
        <w:numPr>
          <w:ilvl w:val="0"/>
          <w:numId w:val="23"/>
        </w:numPr>
        <w:spacing w:after="0" w:line="276" w:lineRule="auto"/>
        <w:rPr>
          <w:rFonts w:eastAsia="Times New Roman" w:cs="Times New Roman"/>
          <w:kern w:val="0"/>
          <w:sz w:val="24"/>
          <w:szCs w:val="24"/>
          <w:lang w:eastAsia="en-GB"/>
          <w14:ligatures w14:val="none"/>
        </w:rPr>
      </w:pPr>
      <w:r w:rsidRPr="00855C9C">
        <w:rPr>
          <w:rFonts w:eastAsia="Times New Roman" w:cs="Times New Roman"/>
          <w:kern w:val="0"/>
          <w:sz w:val="24"/>
          <w:szCs w:val="24"/>
          <w:lang w:eastAsia="en-GB"/>
          <w14:ligatures w14:val="none"/>
        </w:rPr>
        <w:t xml:space="preserve">Explore reforms to enable </w:t>
      </w:r>
      <w:r w:rsidRPr="00855C9C">
        <w:rPr>
          <w:rFonts w:eastAsia="Times New Roman" w:cs="Times New Roman"/>
          <w:b/>
          <w:bCs/>
          <w:kern w:val="0"/>
          <w:sz w:val="24"/>
          <w:szCs w:val="24"/>
          <w:lang w:eastAsia="en-GB"/>
          <w14:ligatures w14:val="none"/>
        </w:rPr>
        <w:t>land value capture</w:t>
      </w:r>
      <w:r w:rsidRPr="00855C9C">
        <w:rPr>
          <w:rFonts w:eastAsia="Times New Roman" w:cs="Times New Roman"/>
          <w:kern w:val="0"/>
          <w:sz w:val="24"/>
          <w:szCs w:val="24"/>
          <w:lang w:eastAsia="en-GB"/>
          <w14:ligatures w14:val="none"/>
        </w:rPr>
        <w:t xml:space="preserve"> and better funding of infrastructure.</w:t>
      </w:r>
    </w:p>
    <w:p w14:paraId="00CB9F1A" w14:textId="77777777" w:rsidR="00521C2F" w:rsidRPr="00855C9C" w:rsidRDefault="00521C2F" w:rsidP="005179DF">
      <w:pPr>
        <w:pStyle w:val="ListParagraph"/>
        <w:numPr>
          <w:ilvl w:val="0"/>
          <w:numId w:val="23"/>
        </w:numPr>
        <w:spacing w:after="0" w:line="276" w:lineRule="auto"/>
        <w:rPr>
          <w:rFonts w:eastAsia="Times New Roman" w:cs="Times New Roman"/>
          <w:kern w:val="0"/>
          <w:sz w:val="24"/>
          <w:szCs w:val="24"/>
          <w:lang w:eastAsia="en-GB"/>
          <w14:ligatures w14:val="none"/>
        </w:rPr>
      </w:pPr>
      <w:r w:rsidRPr="00855C9C">
        <w:rPr>
          <w:rFonts w:eastAsia="Times New Roman" w:cs="Times New Roman"/>
          <w:kern w:val="0"/>
          <w:sz w:val="24"/>
          <w:szCs w:val="24"/>
          <w:lang w:eastAsia="en-GB"/>
          <w14:ligatures w14:val="none"/>
        </w:rPr>
        <w:t xml:space="preserve">Strengthen partnerships with Homes England and others to provide a </w:t>
      </w:r>
      <w:r w:rsidRPr="00855C9C">
        <w:rPr>
          <w:rFonts w:eastAsia="Times New Roman" w:cs="Times New Roman"/>
          <w:b/>
          <w:bCs/>
          <w:kern w:val="0"/>
          <w:sz w:val="24"/>
          <w:szCs w:val="24"/>
          <w:lang w:eastAsia="en-GB"/>
          <w14:ligatures w14:val="none"/>
        </w:rPr>
        <w:t>“single front door”</w:t>
      </w:r>
      <w:r w:rsidRPr="00855C9C">
        <w:rPr>
          <w:rFonts w:eastAsia="Times New Roman" w:cs="Times New Roman"/>
          <w:kern w:val="0"/>
          <w:sz w:val="24"/>
          <w:szCs w:val="24"/>
          <w:lang w:eastAsia="en-GB"/>
          <w14:ligatures w14:val="none"/>
        </w:rPr>
        <w:t xml:space="preserve"> for delivery support.</w:t>
      </w:r>
    </w:p>
    <w:p w14:paraId="1EA34FC9" w14:textId="77777777" w:rsidR="00521C2F" w:rsidRPr="00855C9C" w:rsidRDefault="00521C2F" w:rsidP="005179DF">
      <w:pPr>
        <w:pStyle w:val="ListParagraph"/>
        <w:numPr>
          <w:ilvl w:val="0"/>
          <w:numId w:val="23"/>
        </w:numPr>
        <w:spacing w:after="0" w:line="276" w:lineRule="auto"/>
        <w:rPr>
          <w:rFonts w:eastAsia="Times New Roman" w:cs="Times New Roman"/>
          <w:kern w:val="0"/>
          <w:sz w:val="24"/>
          <w:szCs w:val="24"/>
          <w:lang w:eastAsia="en-GB"/>
          <w14:ligatures w14:val="none"/>
        </w:rPr>
      </w:pPr>
      <w:r w:rsidRPr="00855C9C">
        <w:rPr>
          <w:rFonts w:eastAsia="Times New Roman" w:cs="Times New Roman"/>
          <w:kern w:val="0"/>
          <w:sz w:val="24"/>
          <w:szCs w:val="24"/>
          <w:lang w:eastAsia="en-GB"/>
          <w14:ligatures w14:val="none"/>
        </w:rPr>
        <w:lastRenderedPageBreak/>
        <w:t xml:space="preserve">Develop approaches to ensure a </w:t>
      </w:r>
      <w:r w:rsidRPr="00855C9C">
        <w:rPr>
          <w:rFonts w:eastAsia="Times New Roman" w:cs="Times New Roman"/>
          <w:b/>
          <w:bCs/>
          <w:kern w:val="0"/>
          <w:sz w:val="24"/>
          <w:szCs w:val="24"/>
          <w:lang w:eastAsia="en-GB"/>
          <w14:ligatures w14:val="none"/>
        </w:rPr>
        <w:t>balanced tenure mix</w:t>
      </w:r>
      <w:r w:rsidRPr="00855C9C">
        <w:rPr>
          <w:rFonts w:eastAsia="Times New Roman" w:cs="Times New Roman"/>
          <w:kern w:val="0"/>
          <w:sz w:val="24"/>
          <w:szCs w:val="24"/>
          <w:lang w:eastAsia="en-GB"/>
          <w14:ligatures w14:val="none"/>
        </w:rPr>
        <w:t>, including tools to manage PBSA dominance.</w:t>
      </w:r>
    </w:p>
    <w:p w14:paraId="6779FE62" w14:textId="6C59CF18" w:rsidR="00521C2F" w:rsidRPr="00521C2F" w:rsidRDefault="005179DF" w:rsidP="00855C9C">
      <w:pPr>
        <w:spacing w:before="100" w:beforeAutospacing="1" w:after="0" w:line="276" w:lineRule="auto"/>
        <w:rPr>
          <w:rFonts w:eastAsia="Times New Roman" w:cs="Times New Roman"/>
          <w:b/>
          <w:bCs/>
          <w:kern w:val="0"/>
          <w:sz w:val="24"/>
          <w:szCs w:val="24"/>
          <w:lang w:eastAsia="en-GB"/>
          <w14:ligatures w14:val="none"/>
        </w:rPr>
      </w:pPr>
      <w:r>
        <w:rPr>
          <w:rFonts w:eastAsia="Times New Roman" w:cs="Times New Roman"/>
          <w:b/>
          <w:bCs/>
          <w:kern w:val="0"/>
          <w:sz w:val="24"/>
          <w:szCs w:val="24"/>
          <w:lang w:eastAsia="en-GB"/>
          <w14:ligatures w14:val="none"/>
        </w:rPr>
        <w:t>3</w:t>
      </w:r>
      <w:r w:rsidR="00521C2F" w:rsidRPr="00521C2F">
        <w:rPr>
          <w:rFonts w:eastAsia="Times New Roman" w:cs="Times New Roman"/>
          <w:b/>
          <w:bCs/>
          <w:kern w:val="0"/>
          <w:sz w:val="24"/>
          <w:szCs w:val="24"/>
          <w:lang w:eastAsia="en-GB"/>
          <w14:ligatures w14:val="none"/>
        </w:rPr>
        <w:t>.4 Innovation Districts</w:t>
      </w:r>
    </w:p>
    <w:p w14:paraId="4E20E29F" w14:textId="77777777" w:rsidR="00521C2F" w:rsidRPr="00521C2F" w:rsidRDefault="00521C2F" w:rsidP="00855C9C">
      <w:pPr>
        <w:spacing w:before="100" w:beforeAutospacing="1" w:after="0" w:line="276" w:lineRule="auto"/>
        <w:rPr>
          <w:rFonts w:eastAsia="Times New Roman" w:cs="Times New Roman"/>
          <w:kern w:val="0"/>
          <w:sz w:val="24"/>
          <w:szCs w:val="24"/>
          <w:u w:val="single"/>
          <w:lang w:eastAsia="en-GB"/>
          <w14:ligatures w14:val="none"/>
        </w:rPr>
      </w:pPr>
      <w:r w:rsidRPr="00521C2F">
        <w:rPr>
          <w:rFonts w:eastAsia="Times New Roman" w:cs="Times New Roman"/>
          <w:kern w:val="0"/>
          <w:sz w:val="24"/>
          <w:szCs w:val="24"/>
          <w:u w:val="single"/>
          <w:lang w:eastAsia="en-GB"/>
          <w14:ligatures w14:val="none"/>
        </w:rPr>
        <w:t>Aims and Focus</w:t>
      </w:r>
    </w:p>
    <w:p w14:paraId="5EA2D29D" w14:textId="77777777" w:rsidR="00521C2F" w:rsidRPr="00521C2F" w:rsidRDefault="00521C2F" w:rsidP="00855C9C">
      <w:p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This session explored how cities can align innovation, business growth and real estate investment to support industrial strategy priorities and scale innovation districts.</w:t>
      </w:r>
    </w:p>
    <w:p w14:paraId="2776BD9C" w14:textId="77777777" w:rsidR="00521C2F" w:rsidRPr="00521C2F" w:rsidRDefault="00521C2F" w:rsidP="00855C9C">
      <w:pPr>
        <w:spacing w:before="100" w:beforeAutospacing="1" w:after="0" w:line="276" w:lineRule="auto"/>
        <w:rPr>
          <w:rFonts w:eastAsia="Times New Roman" w:cs="Times New Roman"/>
          <w:kern w:val="0"/>
          <w:sz w:val="24"/>
          <w:szCs w:val="24"/>
          <w:u w:val="single"/>
          <w:lang w:eastAsia="en-GB"/>
          <w14:ligatures w14:val="none"/>
        </w:rPr>
      </w:pPr>
      <w:r w:rsidRPr="00521C2F">
        <w:rPr>
          <w:rFonts w:eastAsia="Times New Roman" w:cs="Times New Roman"/>
          <w:kern w:val="0"/>
          <w:sz w:val="24"/>
          <w:szCs w:val="24"/>
          <w:u w:val="single"/>
          <w:lang w:eastAsia="en-GB"/>
          <w14:ligatures w14:val="none"/>
        </w:rPr>
        <w:t>Summary of Discussion</w:t>
      </w:r>
    </w:p>
    <w:p w14:paraId="1154C4B8" w14:textId="77777777" w:rsidR="00521C2F" w:rsidRPr="00521C2F" w:rsidRDefault="00521C2F" w:rsidP="00855C9C">
      <w:p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 xml:space="preserve">Participants highlighted the strength of Core Cities as centres of research and </w:t>
      </w:r>
      <w:proofErr w:type="gramStart"/>
      <w:r w:rsidRPr="00521C2F">
        <w:rPr>
          <w:rFonts w:eastAsia="Times New Roman" w:cs="Times New Roman"/>
          <w:kern w:val="0"/>
          <w:sz w:val="24"/>
          <w:szCs w:val="24"/>
          <w:lang w:eastAsia="en-GB"/>
          <w14:ligatures w14:val="none"/>
        </w:rPr>
        <w:t>innovation, but</w:t>
      </w:r>
      <w:proofErr w:type="gramEnd"/>
      <w:r w:rsidRPr="00521C2F">
        <w:rPr>
          <w:rFonts w:eastAsia="Times New Roman" w:cs="Times New Roman"/>
          <w:kern w:val="0"/>
          <w:sz w:val="24"/>
          <w:szCs w:val="24"/>
          <w:lang w:eastAsia="en-GB"/>
          <w14:ligatures w14:val="none"/>
        </w:rPr>
        <w:t xml:space="preserve"> noted that investment systems are not yet aligned to fully support their growth.</w:t>
      </w:r>
    </w:p>
    <w:p w14:paraId="7C0B7F69" w14:textId="77777777" w:rsidR="00521C2F" w:rsidRPr="00521C2F" w:rsidRDefault="00521C2F" w:rsidP="00855C9C">
      <w:p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A key issue is the disconnect between business growth and property investment, with insufficient provision of affordable, flexible space for startups and scaling firms.</w:t>
      </w:r>
    </w:p>
    <w:p w14:paraId="6023E4AA" w14:textId="77777777" w:rsidR="00521C2F" w:rsidRPr="00521C2F" w:rsidRDefault="00521C2F" w:rsidP="00855C9C">
      <w:p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There was also concern about:</w:t>
      </w:r>
    </w:p>
    <w:p w14:paraId="5C0841F8" w14:textId="77777777" w:rsidR="00521C2F" w:rsidRPr="005179DF" w:rsidRDefault="00521C2F" w:rsidP="005179DF">
      <w:pPr>
        <w:pStyle w:val="ListParagraph"/>
        <w:numPr>
          <w:ilvl w:val="0"/>
          <w:numId w:val="24"/>
        </w:numPr>
        <w:spacing w:after="0" w:line="276" w:lineRule="auto"/>
        <w:rPr>
          <w:rFonts w:eastAsia="Times New Roman" w:cs="Times New Roman"/>
          <w:kern w:val="0"/>
          <w:sz w:val="24"/>
          <w:szCs w:val="24"/>
          <w:lang w:eastAsia="en-GB"/>
          <w14:ligatures w14:val="none"/>
        </w:rPr>
      </w:pPr>
      <w:r w:rsidRPr="005179DF">
        <w:rPr>
          <w:rFonts w:eastAsia="Times New Roman" w:cs="Times New Roman"/>
          <w:kern w:val="0"/>
          <w:sz w:val="24"/>
          <w:szCs w:val="24"/>
          <w:lang w:eastAsia="en-GB"/>
          <w14:ligatures w14:val="none"/>
        </w:rPr>
        <w:t>Fragmentation and inconsistency in zonal policy frameworks</w:t>
      </w:r>
    </w:p>
    <w:p w14:paraId="43D7BCBB" w14:textId="77777777" w:rsidR="00521C2F" w:rsidRPr="005179DF" w:rsidRDefault="00521C2F" w:rsidP="005179DF">
      <w:pPr>
        <w:pStyle w:val="ListParagraph"/>
        <w:numPr>
          <w:ilvl w:val="0"/>
          <w:numId w:val="24"/>
        </w:numPr>
        <w:spacing w:before="100" w:beforeAutospacing="1" w:after="0" w:line="276" w:lineRule="auto"/>
        <w:rPr>
          <w:rFonts w:eastAsia="Times New Roman" w:cs="Times New Roman"/>
          <w:kern w:val="0"/>
          <w:sz w:val="24"/>
          <w:szCs w:val="24"/>
          <w:lang w:eastAsia="en-GB"/>
          <w14:ligatures w14:val="none"/>
        </w:rPr>
      </w:pPr>
      <w:r w:rsidRPr="005179DF">
        <w:rPr>
          <w:rFonts w:eastAsia="Times New Roman" w:cs="Times New Roman"/>
          <w:kern w:val="0"/>
          <w:sz w:val="24"/>
          <w:szCs w:val="24"/>
          <w:lang w:eastAsia="en-GB"/>
          <w14:ligatures w14:val="none"/>
        </w:rPr>
        <w:t>Limited use of fiscal levers compared to international competitors</w:t>
      </w:r>
    </w:p>
    <w:p w14:paraId="46703284" w14:textId="77777777" w:rsidR="00521C2F" w:rsidRPr="005179DF" w:rsidRDefault="00521C2F" w:rsidP="005179DF">
      <w:pPr>
        <w:pStyle w:val="ListParagraph"/>
        <w:numPr>
          <w:ilvl w:val="0"/>
          <w:numId w:val="24"/>
        </w:numPr>
        <w:spacing w:before="100" w:beforeAutospacing="1" w:after="0" w:line="276" w:lineRule="auto"/>
        <w:rPr>
          <w:rFonts w:eastAsia="Times New Roman" w:cs="Times New Roman"/>
          <w:kern w:val="0"/>
          <w:sz w:val="24"/>
          <w:szCs w:val="24"/>
          <w:lang w:eastAsia="en-GB"/>
          <w14:ligatures w14:val="none"/>
        </w:rPr>
      </w:pPr>
      <w:r w:rsidRPr="005179DF">
        <w:rPr>
          <w:rFonts w:eastAsia="Times New Roman" w:cs="Times New Roman"/>
          <w:kern w:val="0"/>
          <w:sz w:val="24"/>
          <w:szCs w:val="24"/>
          <w:lang w:eastAsia="en-GB"/>
          <w14:ligatures w14:val="none"/>
        </w:rPr>
        <w:t>Weak data sharing and visibility of innovation pipelines</w:t>
      </w:r>
    </w:p>
    <w:p w14:paraId="594ED0F6" w14:textId="77777777" w:rsidR="00521C2F" w:rsidRPr="00521C2F" w:rsidRDefault="00521C2F" w:rsidP="00855C9C">
      <w:p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Universities and anchor institutions play a critical role, but face capacity and financial pressures, while the rapid evolution of AI presents both opportunities and risks.</w:t>
      </w:r>
    </w:p>
    <w:p w14:paraId="3FB3537F" w14:textId="77777777" w:rsidR="00521C2F" w:rsidRPr="00521C2F" w:rsidRDefault="00521C2F" w:rsidP="00855C9C">
      <w:p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There was a strong call for a more place-based, coordinated national approach, recognising the distinct specialisms of different cities.</w:t>
      </w:r>
    </w:p>
    <w:p w14:paraId="5D96F8B7" w14:textId="77777777" w:rsidR="00521C2F" w:rsidRPr="00521C2F" w:rsidRDefault="00521C2F" w:rsidP="00855C9C">
      <w:pPr>
        <w:spacing w:before="100" w:beforeAutospacing="1" w:after="0" w:line="276" w:lineRule="auto"/>
        <w:rPr>
          <w:rFonts w:eastAsia="Times New Roman" w:cs="Times New Roman"/>
          <w:kern w:val="0"/>
          <w:sz w:val="24"/>
          <w:szCs w:val="24"/>
          <w:u w:val="single"/>
          <w:lang w:eastAsia="en-GB"/>
          <w14:ligatures w14:val="none"/>
        </w:rPr>
      </w:pPr>
      <w:r w:rsidRPr="00521C2F">
        <w:rPr>
          <w:rFonts w:eastAsia="Times New Roman" w:cs="Times New Roman"/>
          <w:kern w:val="0"/>
          <w:sz w:val="24"/>
          <w:szCs w:val="24"/>
          <w:u w:val="single"/>
          <w:lang w:eastAsia="en-GB"/>
          <w14:ligatures w14:val="none"/>
        </w:rPr>
        <w:t>Key Actions / Follow-Up</w:t>
      </w:r>
    </w:p>
    <w:p w14:paraId="03D06C8F" w14:textId="77777777" w:rsidR="00521C2F" w:rsidRPr="00521C2F" w:rsidRDefault="00521C2F" w:rsidP="005179DF">
      <w:pPr>
        <w:pStyle w:val="ListParagraph"/>
        <w:numPr>
          <w:ilvl w:val="0"/>
          <w:numId w:val="25"/>
        </w:numPr>
        <w:spacing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 xml:space="preserve">Develop a </w:t>
      </w:r>
      <w:r w:rsidRPr="00521C2F">
        <w:rPr>
          <w:rFonts w:eastAsia="Times New Roman" w:cs="Times New Roman"/>
          <w:b/>
          <w:bCs/>
          <w:kern w:val="0"/>
          <w:sz w:val="24"/>
          <w:szCs w:val="24"/>
          <w:lang w:eastAsia="en-GB"/>
          <w14:ligatures w14:val="none"/>
        </w:rPr>
        <w:t>clearer national and city-level pipeline</w:t>
      </w:r>
      <w:r w:rsidRPr="00521C2F">
        <w:rPr>
          <w:rFonts w:eastAsia="Times New Roman" w:cs="Times New Roman"/>
          <w:kern w:val="0"/>
          <w:sz w:val="24"/>
          <w:szCs w:val="24"/>
          <w:lang w:eastAsia="en-GB"/>
          <w14:ligatures w14:val="none"/>
        </w:rPr>
        <w:t xml:space="preserve"> of innovation districts and associated investment opportunities.</w:t>
      </w:r>
    </w:p>
    <w:p w14:paraId="6DE168E3" w14:textId="77777777" w:rsidR="00521C2F" w:rsidRPr="00521C2F" w:rsidRDefault="00521C2F" w:rsidP="005179DF">
      <w:pPr>
        <w:pStyle w:val="ListParagraph"/>
        <w:numPr>
          <w:ilvl w:val="0"/>
          <w:numId w:val="25"/>
        </w:numPr>
        <w:spacing w:after="0" w:line="276" w:lineRule="auto"/>
        <w:rPr>
          <w:rFonts w:eastAsia="Times New Roman" w:cs="Times New Roman"/>
          <w:kern w:val="0"/>
          <w:sz w:val="24"/>
          <w:szCs w:val="24"/>
          <w:lang w:eastAsia="en-GB"/>
          <w14:ligatures w14:val="none"/>
        </w:rPr>
      </w:pPr>
      <w:r w:rsidRPr="00521C2F">
        <w:rPr>
          <w:rFonts w:eastAsia="Times New Roman" w:cs="Times New Roman"/>
          <w:b/>
          <w:bCs/>
          <w:kern w:val="0"/>
          <w:sz w:val="24"/>
          <w:szCs w:val="24"/>
          <w:lang w:eastAsia="en-GB"/>
          <w14:ligatures w14:val="none"/>
        </w:rPr>
        <w:t>Improve data sharing</w:t>
      </w:r>
      <w:r w:rsidRPr="00521C2F">
        <w:rPr>
          <w:rFonts w:eastAsia="Times New Roman" w:cs="Times New Roman"/>
          <w:kern w:val="0"/>
          <w:sz w:val="24"/>
          <w:szCs w:val="24"/>
          <w:lang w:eastAsia="en-GB"/>
          <w14:ligatures w14:val="none"/>
        </w:rPr>
        <w:t xml:space="preserve"> and mapping of innovation ecosystems to support investment decisions.</w:t>
      </w:r>
    </w:p>
    <w:p w14:paraId="7B81BC7B" w14:textId="77777777" w:rsidR="00521C2F" w:rsidRPr="00521C2F" w:rsidRDefault="00521C2F" w:rsidP="005179DF">
      <w:pPr>
        <w:pStyle w:val="ListParagraph"/>
        <w:numPr>
          <w:ilvl w:val="0"/>
          <w:numId w:val="25"/>
        </w:numPr>
        <w:spacing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 xml:space="preserve">Explore </w:t>
      </w:r>
      <w:r w:rsidRPr="00521C2F">
        <w:rPr>
          <w:rFonts w:eastAsia="Times New Roman" w:cs="Times New Roman"/>
          <w:b/>
          <w:bCs/>
          <w:kern w:val="0"/>
          <w:sz w:val="24"/>
          <w:szCs w:val="24"/>
          <w:lang w:eastAsia="en-GB"/>
          <w14:ligatures w14:val="none"/>
        </w:rPr>
        <w:t>consolidation and simplification of zonal policies</w:t>
      </w:r>
      <w:r w:rsidRPr="00521C2F">
        <w:rPr>
          <w:rFonts w:eastAsia="Times New Roman" w:cs="Times New Roman"/>
          <w:kern w:val="0"/>
          <w:sz w:val="24"/>
          <w:szCs w:val="24"/>
          <w:lang w:eastAsia="en-GB"/>
          <w14:ligatures w14:val="none"/>
        </w:rPr>
        <w:t xml:space="preserve"> and incentives.</w:t>
      </w:r>
    </w:p>
    <w:p w14:paraId="3B28A9CE" w14:textId="77777777" w:rsidR="00521C2F" w:rsidRPr="00521C2F" w:rsidRDefault="00521C2F" w:rsidP="005179DF">
      <w:pPr>
        <w:pStyle w:val="ListParagraph"/>
        <w:numPr>
          <w:ilvl w:val="0"/>
          <w:numId w:val="25"/>
        </w:numPr>
        <w:spacing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 xml:space="preserve">Increase </w:t>
      </w:r>
      <w:r w:rsidRPr="00521C2F">
        <w:rPr>
          <w:rFonts w:eastAsia="Times New Roman" w:cs="Times New Roman"/>
          <w:b/>
          <w:bCs/>
          <w:kern w:val="0"/>
          <w:sz w:val="24"/>
          <w:szCs w:val="24"/>
          <w:lang w:eastAsia="en-GB"/>
          <w14:ligatures w14:val="none"/>
        </w:rPr>
        <w:t>provision of flexible, affordable space</w:t>
      </w:r>
      <w:r w:rsidRPr="00521C2F">
        <w:rPr>
          <w:rFonts w:eastAsia="Times New Roman" w:cs="Times New Roman"/>
          <w:kern w:val="0"/>
          <w:sz w:val="24"/>
          <w:szCs w:val="24"/>
          <w:lang w:eastAsia="en-GB"/>
          <w14:ligatures w14:val="none"/>
        </w:rPr>
        <w:t xml:space="preserve"> for startups and scaling firms.</w:t>
      </w:r>
    </w:p>
    <w:p w14:paraId="220705B3" w14:textId="53730B18" w:rsidR="00521C2F" w:rsidRPr="00521C2F" w:rsidRDefault="00521C2F" w:rsidP="00855C9C">
      <w:pPr>
        <w:spacing w:after="0" w:line="276" w:lineRule="auto"/>
        <w:rPr>
          <w:rFonts w:eastAsia="Times New Roman" w:cs="Times New Roman"/>
          <w:kern w:val="0"/>
          <w:sz w:val="24"/>
          <w:szCs w:val="24"/>
          <w:lang w:eastAsia="en-GB"/>
          <w14:ligatures w14:val="none"/>
        </w:rPr>
      </w:pPr>
    </w:p>
    <w:p w14:paraId="74A6AECD" w14:textId="77777777" w:rsidR="005179DF" w:rsidRDefault="005179DF" w:rsidP="005179DF">
      <w:pPr>
        <w:spacing w:before="100" w:beforeAutospacing="1" w:after="0" w:line="276" w:lineRule="auto"/>
        <w:rPr>
          <w:rFonts w:eastAsia="Times New Roman" w:cs="Times New Roman"/>
          <w:b/>
          <w:bCs/>
          <w:kern w:val="0"/>
          <w:sz w:val="24"/>
          <w:szCs w:val="24"/>
          <w:lang w:eastAsia="en-GB"/>
          <w14:ligatures w14:val="none"/>
        </w:rPr>
      </w:pPr>
    </w:p>
    <w:p w14:paraId="6DE11DB3" w14:textId="77777777" w:rsidR="005179DF" w:rsidRDefault="005179DF" w:rsidP="005179DF">
      <w:pPr>
        <w:spacing w:before="100" w:beforeAutospacing="1" w:after="0" w:line="276" w:lineRule="auto"/>
        <w:rPr>
          <w:rFonts w:eastAsia="Times New Roman" w:cs="Times New Roman"/>
          <w:b/>
          <w:bCs/>
          <w:kern w:val="0"/>
          <w:sz w:val="24"/>
          <w:szCs w:val="24"/>
          <w:lang w:eastAsia="en-GB"/>
          <w14:ligatures w14:val="none"/>
        </w:rPr>
      </w:pPr>
    </w:p>
    <w:p w14:paraId="7AD1CEBB" w14:textId="77777777" w:rsidR="005179DF" w:rsidRDefault="005179DF" w:rsidP="005179DF">
      <w:pPr>
        <w:spacing w:before="100" w:beforeAutospacing="1" w:after="0" w:line="276" w:lineRule="auto"/>
        <w:rPr>
          <w:rFonts w:eastAsia="Times New Roman" w:cs="Times New Roman"/>
          <w:b/>
          <w:bCs/>
          <w:kern w:val="0"/>
          <w:sz w:val="24"/>
          <w:szCs w:val="24"/>
          <w:lang w:eastAsia="en-GB"/>
          <w14:ligatures w14:val="none"/>
        </w:rPr>
      </w:pPr>
    </w:p>
    <w:p w14:paraId="027270E8" w14:textId="3304E932" w:rsidR="00521C2F" w:rsidRPr="00521C2F" w:rsidRDefault="005179DF" w:rsidP="005179DF">
      <w:pPr>
        <w:spacing w:before="100" w:beforeAutospacing="1" w:after="0" w:line="276" w:lineRule="auto"/>
        <w:rPr>
          <w:rFonts w:eastAsia="Times New Roman" w:cs="Times New Roman"/>
          <w:b/>
          <w:bCs/>
          <w:kern w:val="0"/>
          <w:sz w:val="24"/>
          <w:szCs w:val="24"/>
          <w:lang w:eastAsia="en-GB"/>
          <w14:ligatures w14:val="none"/>
        </w:rPr>
      </w:pPr>
      <w:r>
        <w:rPr>
          <w:rFonts w:eastAsia="Times New Roman" w:cs="Times New Roman"/>
          <w:b/>
          <w:bCs/>
          <w:kern w:val="0"/>
          <w:sz w:val="24"/>
          <w:szCs w:val="24"/>
          <w:lang w:eastAsia="en-GB"/>
          <w14:ligatures w14:val="none"/>
        </w:rPr>
        <w:lastRenderedPageBreak/>
        <w:t>3</w:t>
      </w:r>
      <w:r w:rsidR="00521C2F" w:rsidRPr="00521C2F">
        <w:rPr>
          <w:rFonts w:eastAsia="Times New Roman" w:cs="Times New Roman"/>
          <w:b/>
          <w:bCs/>
          <w:kern w:val="0"/>
          <w:sz w:val="24"/>
          <w:szCs w:val="24"/>
          <w:lang w:eastAsia="en-GB"/>
          <w14:ligatures w14:val="none"/>
        </w:rPr>
        <w:t>.5 Net Zero City Infrastructure</w:t>
      </w:r>
    </w:p>
    <w:p w14:paraId="7B6235B1" w14:textId="77777777" w:rsidR="00521C2F" w:rsidRPr="00521C2F" w:rsidRDefault="00521C2F" w:rsidP="005179DF">
      <w:pPr>
        <w:spacing w:before="100" w:beforeAutospacing="1" w:after="0" w:line="276" w:lineRule="auto"/>
        <w:rPr>
          <w:rFonts w:eastAsia="Times New Roman" w:cs="Times New Roman"/>
          <w:kern w:val="0"/>
          <w:sz w:val="24"/>
          <w:szCs w:val="24"/>
          <w:u w:val="single"/>
          <w:lang w:eastAsia="en-GB"/>
          <w14:ligatures w14:val="none"/>
        </w:rPr>
      </w:pPr>
      <w:r w:rsidRPr="00521C2F">
        <w:rPr>
          <w:rFonts w:eastAsia="Times New Roman" w:cs="Times New Roman"/>
          <w:kern w:val="0"/>
          <w:sz w:val="24"/>
          <w:szCs w:val="24"/>
          <w:u w:val="single"/>
          <w:lang w:eastAsia="en-GB"/>
          <w14:ligatures w14:val="none"/>
        </w:rPr>
        <w:t>Aims and Focus</w:t>
      </w:r>
    </w:p>
    <w:p w14:paraId="01B2B71A" w14:textId="77777777" w:rsidR="00521C2F" w:rsidRPr="00521C2F" w:rsidRDefault="00521C2F" w:rsidP="005179DF">
      <w:p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This session focused on how to mobilise investment at scale to deliver Net Zero infrastructure across cities, including energy, transport, and building retrofit.</w:t>
      </w:r>
    </w:p>
    <w:p w14:paraId="402704F0" w14:textId="77777777" w:rsidR="00521C2F" w:rsidRPr="00521C2F" w:rsidRDefault="00521C2F" w:rsidP="005179DF">
      <w:pPr>
        <w:spacing w:before="100" w:beforeAutospacing="1" w:after="0" w:line="276" w:lineRule="auto"/>
        <w:rPr>
          <w:rFonts w:eastAsia="Times New Roman" w:cs="Times New Roman"/>
          <w:kern w:val="0"/>
          <w:sz w:val="24"/>
          <w:szCs w:val="24"/>
          <w:u w:val="single"/>
          <w:lang w:eastAsia="en-GB"/>
          <w14:ligatures w14:val="none"/>
        </w:rPr>
      </w:pPr>
      <w:r w:rsidRPr="00521C2F">
        <w:rPr>
          <w:rFonts w:eastAsia="Times New Roman" w:cs="Times New Roman"/>
          <w:kern w:val="0"/>
          <w:sz w:val="24"/>
          <w:szCs w:val="24"/>
          <w:u w:val="single"/>
          <w:lang w:eastAsia="en-GB"/>
          <w14:ligatures w14:val="none"/>
        </w:rPr>
        <w:t>Summary of Discussion</w:t>
      </w:r>
    </w:p>
    <w:p w14:paraId="33F53046" w14:textId="77777777" w:rsidR="00521C2F" w:rsidRPr="00521C2F" w:rsidRDefault="00521C2F" w:rsidP="005179DF">
      <w:p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Participants agreed that while ambition is high, the challenge lies in moving from aspirational project lists to investable pipelines.</w:t>
      </w:r>
    </w:p>
    <w:p w14:paraId="6049CA0A" w14:textId="77777777" w:rsidR="00521C2F" w:rsidRPr="00521C2F" w:rsidRDefault="00521C2F" w:rsidP="005179DF">
      <w:p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Key barriers include:</w:t>
      </w:r>
    </w:p>
    <w:p w14:paraId="09D8CEF5" w14:textId="77777777" w:rsidR="00521C2F" w:rsidRPr="005179DF" w:rsidRDefault="00521C2F" w:rsidP="005179DF">
      <w:pPr>
        <w:pStyle w:val="ListParagraph"/>
        <w:numPr>
          <w:ilvl w:val="0"/>
          <w:numId w:val="26"/>
        </w:numPr>
        <w:spacing w:after="0" w:line="276" w:lineRule="auto"/>
        <w:rPr>
          <w:rFonts w:eastAsia="Times New Roman" w:cs="Times New Roman"/>
          <w:kern w:val="0"/>
          <w:sz w:val="24"/>
          <w:szCs w:val="24"/>
          <w:lang w:eastAsia="en-GB"/>
          <w14:ligatures w14:val="none"/>
        </w:rPr>
      </w:pPr>
      <w:r w:rsidRPr="005179DF">
        <w:rPr>
          <w:rFonts w:eastAsia="Times New Roman" w:cs="Times New Roman"/>
          <w:kern w:val="0"/>
          <w:sz w:val="24"/>
          <w:szCs w:val="24"/>
          <w:lang w:eastAsia="en-GB"/>
          <w14:ligatures w14:val="none"/>
        </w:rPr>
        <w:t>Lack of aggregation and scale, with projects too fragmented to attract institutional capital</w:t>
      </w:r>
    </w:p>
    <w:p w14:paraId="5D884101" w14:textId="77777777" w:rsidR="00521C2F" w:rsidRPr="005179DF" w:rsidRDefault="00521C2F" w:rsidP="005179DF">
      <w:pPr>
        <w:pStyle w:val="ListParagraph"/>
        <w:numPr>
          <w:ilvl w:val="0"/>
          <w:numId w:val="26"/>
        </w:numPr>
        <w:spacing w:before="100" w:beforeAutospacing="1" w:after="0" w:line="276" w:lineRule="auto"/>
        <w:rPr>
          <w:rFonts w:eastAsia="Times New Roman" w:cs="Times New Roman"/>
          <w:kern w:val="0"/>
          <w:sz w:val="24"/>
          <w:szCs w:val="24"/>
          <w:lang w:eastAsia="en-GB"/>
          <w14:ligatures w14:val="none"/>
        </w:rPr>
      </w:pPr>
      <w:r w:rsidRPr="005179DF">
        <w:rPr>
          <w:rFonts w:eastAsia="Times New Roman" w:cs="Times New Roman"/>
          <w:kern w:val="0"/>
          <w:sz w:val="24"/>
          <w:szCs w:val="24"/>
          <w:lang w:eastAsia="en-GB"/>
          <w14:ligatures w14:val="none"/>
        </w:rPr>
        <w:t>Absence of clear, bankable revenue models</w:t>
      </w:r>
    </w:p>
    <w:p w14:paraId="4F329F73" w14:textId="77777777" w:rsidR="00521C2F" w:rsidRPr="005179DF" w:rsidRDefault="00521C2F" w:rsidP="005179DF">
      <w:pPr>
        <w:pStyle w:val="ListParagraph"/>
        <w:numPr>
          <w:ilvl w:val="0"/>
          <w:numId w:val="26"/>
        </w:numPr>
        <w:spacing w:before="100" w:beforeAutospacing="1" w:after="0" w:line="276" w:lineRule="auto"/>
        <w:rPr>
          <w:rFonts w:eastAsia="Times New Roman" w:cs="Times New Roman"/>
          <w:kern w:val="0"/>
          <w:sz w:val="24"/>
          <w:szCs w:val="24"/>
          <w:lang w:eastAsia="en-GB"/>
          <w14:ligatures w14:val="none"/>
        </w:rPr>
      </w:pPr>
      <w:r w:rsidRPr="005179DF">
        <w:rPr>
          <w:rFonts w:eastAsia="Times New Roman" w:cs="Times New Roman"/>
          <w:kern w:val="0"/>
          <w:sz w:val="24"/>
          <w:szCs w:val="24"/>
          <w:lang w:eastAsia="en-GB"/>
          <w14:ligatures w14:val="none"/>
        </w:rPr>
        <w:t>Misalignment between different types of finance (grant, debt, equity)</w:t>
      </w:r>
    </w:p>
    <w:p w14:paraId="641BE1AE" w14:textId="77777777" w:rsidR="00521C2F" w:rsidRPr="005179DF" w:rsidRDefault="00521C2F" w:rsidP="005179DF">
      <w:pPr>
        <w:pStyle w:val="ListParagraph"/>
        <w:numPr>
          <w:ilvl w:val="0"/>
          <w:numId w:val="26"/>
        </w:numPr>
        <w:spacing w:before="100" w:beforeAutospacing="1" w:after="0" w:line="276" w:lineRule="auto"/>
        <w:rPr>
          <w:rFonts w:eastAsia="Times New Roman" w:cs="Times New Roman"/>
          <w:kern w:val="0"/>
          <w:sz w:val="24"/>
          <w:szCs w:val="24"/>
          <w:lang w:eastAsia="en-GB"/>
          <w14:ligatures w14:val="none"/>
        </w:rPr>
      </w:pPr>
      <w:r w:rsidRPr="005179DF">
        <w:rPr>
          <w:rFonts w:eastAsia="Times New Roman" w:cs="Times New Roman"/>
          <w:kern w:val="0"/>
          <w:sz w:val="24"/>
          <w:szCs w:val="24"/>
          <w:lang w:eastAsia="en-GB"/>
          <w14:ligatures w14:val="none"/>
        </w:rPr>
        <w:t>Significant capacity constraints in developing investment-ready propositions</w:t>
      </w:r>
    </w:p>
    <w:p w14:paraId="1CADC76D" w14:textId="77777777" w:rsidR="00521C2F" w:rsidRPr="005179DF" w:rsidRDefault="00521C2F" w:rsidP="005179DF">
      <w:pPr>
        <w:pStyle w:val="ListParagraph"/>
        <w:numPr>
          <w:ilvl w:val="0"/>
          <w:numId w:val="26"/>
        </w:numPr>
        <w:spacing w:before="100" w:beforeAutospacing="1" w:after="0" w:line="276" w:lineRule="auto"/>
        <w:rPr>
          <w:rFonts w:eastAsia="Times New Roman" w:cs="Times New Roman"/>
          <w:kern w:val="0"/>
          <w:sz w:val="24"/>
          <w:szCs w:val="24"/>
          <w:lang w:eastAsia="en-GB"/>
          <w14:ligatures w14:val="none"/>
        </w:rPr>
      </w:pPr>
      <w:r w:rsidRPr="005179DF">
        <w:rPr>
          <w:rFonts w:eastAsia="Times New Roman" w:cs="Times New Roman"/>
          <w:kern w:val="0"/>
          <w:sz w:val="24"/>
          <w:szCs w:val="24"/>
          <w:lang w:eastAsia="en-GB"/>
          <w14:ligatures w14:val="none"/>
        </w:rPr>
        <w:t>There is also a fundamental challenge in financing multi-asset, place-based programmes, which make sense for cities but are harder to structure for investors.</w:t>
      </w:r>
    </w:p>
    <w:p w14:paraId="51C853B3" w14:textId="77777777" w:rsidR="00521C2F" w:rsidRPr="005179DF" w:rsidRDefault="00521C2F" w:rsidP="005179DF">
      <w:pPr>
        <w:pStyle w:val="ListParagraph"/>
        <w:numPr>
          <w:ilvl w:val="0"/>
          <w:numId w:val="26"/>
        </w:numPr>
        <w:spacing w:before="100" w:beforeAutospacing="1" w:after="0" w:line="276" w:lineRule="auto"/>
        <w:rPr>
          <w:rFonts w:eastAsia="Times New Roman" w:cs="Times New Roman"/>
          <w:kern w:val="0"/>
          <w:sz w:val="24"/>
          <w:szCs w:val="24"/>
          <w:lang w:eastAsia="en-GB"/>
          <w14:ligatures w14:val="none"/>
        </w:rPr>
      </w:pPr>
      <w:r w:rsidRPr="005179DF">
        <w:rPr>
          <w:rFonts w:eastAsia="Times New Roman" w:cs="Times New Roman"/>
          <w:kern w:val="0"/>
          <w:sz w:val="24"/>
          <w:szCs w:val="24"/>
          <w:lang w:eastAsia="en-GB"/>
          <w14:ligatures w14:val="none"/>
        </w:rPr>
        <w:t>The discussion highlighted the need for:</w:t>
      </w:r>
    </w:p>
    <w:p w14:paraId="0D3FCF39" w14:textId="77777777" w:rsidR="00521C2F" w:rsidRPr="005179DF" w:rsidRDefault="00521C2F" w:rsidP="005179DF">
      <w:pPr>
        <w:pStyle w:val="ListParagraph"/>
        <w:numPr>
          <w:ilvl w:val="0"/>
          <w:numId w:val="26"/>
        </w:numPr>
        <w:spacing w:before="100" w:beforeAutospacing="1" w:after="0" w:line="276" w:lineRule="auto"/>
        <w:rPr>
          <w:rFonts w:eastAsia="Times New Roman" w:cs="Times New Roman"/>
          <w:kern w:val="0"/>
          <w:sz w:val="24"/>
          <w:szCs w:val="24"/>
          <w:lang w:eastAsia="en-GB"/>
          <w14:ligatures w14:val="none"/>
        </w:rPr>
      </w:pPr>
      <w:r w:rsidRPr="005179DF">
        <w:rPr>
          <w:rFonts w:eastAsia="Times New Roman" w:cs="Times New Roman"/>
          <w:kern w:val="0"/>
          <w:sz w:val="24"/>
          <w:szCs w:val="24"/>
          <w:lang w:eastAsia="en-GB"/>
          <w14:ligatures w14:val="none"/>
        </w:rPr>
        <w:t>Standardised approaches to project bundling and delivery models</w:t>
      </w:r>
    </w:p>
    <w:p w14:paraId="63FD8556" w14:textId="77777777" w:rsidR="00521C2F" w:rsidRPr="005179DF" w:rsidRDefault="00521C2F" w:rsidP="005179DF">
      <w:pPr>
        <w:pStyle w:val="ListParagraph"/>
        <w:numPr>
          <w:ilvl w:val="0"/>
          <w:numId w:val="26"/>
        </w:numPr>
        <w:spacing w:before="100" w:beforeAutospacing="1" w:after="0" w:line="276" w:lineRule="auto"/>
        <w:rPr>
          <w:rFonts w:eastAsia="Times New Roman" w:cs="Times New Roman"/>
          <w:kern w:val="0"/>
          <w:sz w:val="24"/>
          <w:szCs w:val="24"/>
          <w:lang w:eastAsia="en-GB"/>
          <w14:ligatures w14:val="none"/>
        </w:rPr>
      </w:pPr>
      <w:r w:rsidRPr="005179DF">
        <w:rPr>
          <w:rFonts w:eastAsia="Times New Roman" w:cs="Times New Roman"/>
          <w:kern w:val="0"/>
          <w:sz w:val="24"/>
          <w:szCs w:val="24"/>
          <w:lang w:eastAsia="en-GB"/>
          <w14:ligatures w14:val="none"/>
        </w:rPr>
        <w:t>Greater clarity on risk-sharing arrangements</w:t>
      </w:r>
    </w:p>
    <w:p w14:paraId="0FF126F6" w14:textId="77777777" w:rsidR="00521C2F" w:rsidRPr="005179DF" w:rsidRDefault="00521C2F" w:rsidP="005179DF">
      <w:pPr>
        <w:pStyle w:val="ListParagraph"/>
        <w:numPr>
          <w:ilvl w:val="0"/>
          <w:numId w:val="26"/>
        </w:numPr>
        <w:spacing w:before="100" w:beforeAutospacing="1" w:after="0" w:line="276" w:lineRule="auto"/>
        <w:rPr>
          <w:rFonts w:eastAsia="Times New Roman" w:cs="Times New Roman"/>
          <w:kern w:val="0"/>
          <w:sz w:val="24"/>
          <w:szCs w:val="24"/>
          <w:lang w:eastAsia="en-GB"/>
          <w14:ligatures w14:val="none"/>
        </w:rPr>
      </w:pPr>
      <w:r w:rsidRPr="005179DF">
        <w:rPr>
          <w:rFonts w:eastAsia="Times New Roman" w:cs="Times New Roman"/>
          <w:kern w:val="0"/>
          <w:sz w:val="24"/>
          <w:szCs w:val="24"/>
          <w:lang w:eastAsia="en-GB"/>
          <w14:ligatures w14:val="none"/>
        </w:rPr>
        <w:t>Long-term partnerships and development finance</w:t>
      </w:r>
    </w:p>
    <w:p w14:paraId="3170625E" w14:textId="77777777" w:rsidR="00521C2F" w:rsidRPr="00521C2F" w:rsidRDefault="00521C2F" w:rsidP="005179DF">
      <w:p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There was strong interest in revolving development funds and pooled technical assistance to support pipeline development.</w:t>
      </w:r>
    </w:p>
    <w:p w14:paraId="3F7A7010" w14:textId="77777777" w:rsidR="00521C2F" w:rsidRPr="00521C2F" w:rsidRDefault="00521C2F" w:rsidP="005179DF">
      <w:pPr>
        <w:spacing w:before="100" w:beforeAutospacing="1" w:after="0" w:line="276" w:lineRule="auto"/>
        <w:rPr>
          <w:rFonts w:eastAsia="Times New Roman" w:cs="Times New Roman"/>
          <w:kern w:val="0"/>
          <w:sz w:val="24"/>
          <w:szCs w:val="24"/>
          <w:u w:val="single"/>
          <w:lang w:eastAsia="en-GB"/>
          <w14:ligatures w14:val="none"/>
        </w:rPr>
      </w:pPr>
      <w:r w:rsidRPr="00521C2F">
        <w:rPr>
          <w:rFonts w:eastAsia="Times New Roman" w:cs="Times New Roman"/>
          <w:kern w:val="0"/>
          <w:sz w:val="24"/>
          <w:szCs w:val="24"/>
          <w:u w:val="single"/>
          <w:lang w:eastAsia="en-GB"/>
          <w14:ligatures w14:val="none"/>
        </w:rPr>
        <w:t>Key Actions / Follow-Up</w:t>
      </w:r>
    </w:p>
    <w:p w14:paraId="5729ED54" w14:textId="77777777" w:rsidR="00521C2F" w:rsidRPr="00521C2F" w:rsidRDefault="00521C2F" w:rsidP="005179DF">
      <w:pPr>
        <w:pStyle w:val="ListParagraph"/>
        <w:numPr>
          <w:ilvl w:val="0"/>
          <w:numId w:val="27"/>
        </w:numPr>
        <w:spacing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 xml:space="preserve">Develop and pilot </w:t>
      </w:r>
      <w:r w:rsidRPr="00521C2F">
        <w:rPr>
          <w:rFonts w:eastAsia="Times New Roman" w:cs="Times New Roman"/>
          <w:b/>
          <w:bCs/>
          <w:kern w:val="0"/>
          <w:sz w:val="24"/>
          <w:szCs w:val="24"/>
          <w:lang w:eastAsia="en-GB"/>
          <w14:ligatures w14:val="none"/>
        </w:rPr>
        <w:t>aggregated, standardised investment models</w:t>
      </w:r>
      <w:r w:rsidRPr="00521C2F">
        <w:rPr>
          <w:rFonts w:eastAsia="Times New Roman" w:cs="Times New Roman"/>
          <w:kern w:val="0"/>
          <w:sz w:val="24"/>
          <w:szCs w:val="24"/>
          <w:lang w:eastAsia="en-GB"/>
          <w14:ligatures w14:val="none"/>
        </w:rPr>
        <w:t xml:space="preserve"> for Net Zero infrastructure.</w:t>
      </w:r>
    </w:p>
    <w:p w14:paraId="7E828F58" w14:textId="77777777" w:rsidR="00521C2F" w:rsidRPr="00521C2F" w:rsidRDefault="00521C2F" w:rsidP="005179DF">
      <w:pPr>
        <w:pStyle w:val="ListParagraph"/>
        <w:numPr>
          <w:ilvl w:val="0"/>
          <w:numId w:val="27"/>
        </w:numPr>
        <w:spacing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 xml:space="preserve">Establish a </w:t>
      </w:r>
      <w:r w:rsidRPr="00521C2F">
        <w:rPr>
          <w:rFonts w:eastAsia="Times New Roman" w:cs="Times New Roman"/>
          <w:b/>
          <w:bCs/>
          <w:kern w:val="0"/>
          <w:sz w:val="24"/>
          <w:szCs w:val="24"/>
          <w:lang w:eastAsia="en-GB"/>
          <w14:ligatures w14:val="none"/>
        </w:rPr>
        <w:t>revolving development fund</w:t>
      </w:r>
      <w:r w:rsidRPr="00521C2F">
        <w:rPr>
          <w:rFonts w:eastAsia="Times New Roman" w:cs="Times New Roman"/>
          <w:kern w:val="0"/>
          <w:sz w:val="24"/>
          <w:szCs w:val="24"/>
          <w:lang w:eastAsia="en-GB"/>
          <w14:ligatures w14:val="none"/>
        </w:rPr>
        <w:t xml:space="preserve"> to support early-stage project development.</w:t>
      </w:r>
    </w:p>
    <w:p w14:paraId="71C22F62" w14:textId="77777777" w:rsidR="00521C2F" w:rsidRPr="00521C2F" w:rsidRDefault="00521C2F" w:rsidP="005179DF">
      <w:pPr>
        <w:pStyle w:val="ListParagraph"/>
        <w:numPr>
          <w:ilvl w:val="0"/>
          <w:numId w:val="27"/>
        </w:numPr>
        <w:spacing w:after="0" w:line="276" w:lineRule="auto"/>
        <w:rPr>
          <w:rFonts w:eastAsia="Times New Roman" w:cs="Times New Roman"/>
          <w:kern w:val="0"/>
          <w:sz w:val="24"/>
          <w:szCs w:val="24"/>
          <w:lang w:eastAsia="en-GB"/>
          <w14:ligatures w14:val="none"/>
        </w:rPr>
      </w:pPr>
      <w:r w:rsidRPr="00521C2F">
        <w:rPr>
          <w:rFonts w:eastAsia="Times New Roman" w:cs="Times New Roman"/>
          <w:b/>
          <w:bCs/>
          <w:kern w:val="0"/>
          <w:sz w:val="24"/>
          <w:szCs w:val="24"/>
          <w:lang w:eastAsia="en-GB"/>
          <w14:ligatures w14:val="none"/>
        </w:rPr>
        <w:t>Strengthen local capability</w:t>
      </w:r>
      <w:r w:rsidRPr="00521C2F">
        <w:rPr>
          <w:rFonts w:eastAsia="Times New Roman" w:cs="Times New Roman"/>
          <w:kern w:val="0"/>
          <w:sz w:val="24"/>
          <w:szCs w:val="24"/>
          <w:lang w:eastAsia="en-GB"/>
          <w14:ligatures w14:val="none"/>
        </w:rPr>
        <w:t xml:space="preserve"> and technical assistance, including pooled resources.</w:t>
      </w:r>
    </w:p>
    <w:p w14:paraId="41A0ABBA" w14:textId="77777777" w:rsidR="00521C2F" w:rsidRPr="00521C2F" w:rsidRDefault="00521C2F" w:rsidP="005179DF">
      <w:pPr>
        <w:pStyle w:val="ListParagraph"/>
        <w:numPr>
          <w:ilvl w:val="0"/>
          <w:numId w:val="27"/>
        </w:numPr>
        <w:spacing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 xml:space="preserve">Work with Government to improve </w:t>
      </w:r>
      <w:r w:rsidRPr="00521C2F">
        <w:rPr>
          <w:rFonts w:eastAsia="Times New Roman" w:cs="Times New Roman"/>
          <w:b/>
          <w:bCs/>
          <w:kern w:val="0"/>
          <w:sz w:val="24"/>
          <w:szCs w:val="24"/>
          <w:lang w:eastAsia="en-GB"/>
          <w14:ligatures w14:val="none"/>
        </w:rPr>
        <w:t>alignment of funding streams</w:t>
      </w:r>
      <w:r w:rsidRPr="00521C2F">
        <w:rPr>
          <w:rFonts w:eastAsia="Times New Roman" w:cs="Times New Roman"/>
          <w:kern w:val="0"/>
          <w:sz w:val="24"/>
          <w:szCs w:val="24"/>
          <w:lang w:eastAsia="en-GB"/>
          <w14:ligatures w14:val="none"/>
        </w:rPr>
        <w:t xml:space="preserve"> and policy frameworks.</w:t>
      </w:r>
    </w:p>
    <w:p w14:paraId="4BE8D26A" w14:textId="0A8C9FD9" w:rsidR="00521C2F" w:rsidRPr="00521C2F" w:rsidRDefault="00521C2F" w:rsidP="00855C9C">
      <w:pPr>
        <w:spacing w:after="0" w:line="276" w:lineRule="auto"/>
        <w:rPr>
          <w:rFonts w:eastAsia="Times New Roman" w:cs="Times New Roman"/>
          <w:kern w:val="0"/>
          <w:sz w:val="24"/>
          <w:szCs w:val="24"/>
          <w:lang w:eastAsia="en-GB"/>
          <w14:ligatures w14:val="none"/>
        </w:rPr>
      </w:pPr>
    </w:p>
    <w:p w14:paraId="67FF1F94" w14:textId="77777777" w:rsidR="005179DF" w:rsidRDefault="005179DF" w:rsidP="005179DF">
      <w:pPr>
        <w:spacing w:before="100" w:beforeAutospacing="1" w:after="0" w:line="276" w:lineRule="auto"/>
        <w:rPr>
          <w:rFonts w:eastAsia="Times New Roman" w:cs="Times New Roman"/>
          <w:kern w:val="0"/>
          <w:sz w:val="24"/>
          <w:szCs w:val="24"/>
          <w:lang w:eastAsia="en-GB"/>
          <w14:ligatures w14:val="none"/>
        </w:rPr>
      </w:pPr>
    </w:p>
    <w:p w14:paraId="5107D535" w14:textId="77777777" w:rsidR="005179DF" w:rsidRDefault="005179DF" w:rsidP="005179DF">
      <w:pPr>
        <w:spacing w:before="100" w:beforeAutospacing="1" w:after="0" w:line="276" w:lineRule="auto"/>
        <w:rPr>
          <w:rFonts w:eastAsia="Times New Roman" w:cs="Times New Roman"/>
          <w:kern w:val="0"/>
          <w:sz w:val="24"/>
          <w:szCs w:val="24"/>
          <w:lang w:eastAsia="en-GB"/>
          <w14:ligatures w14:val="none"/>
        </w:rPr>
      </w:pPr>
    </w:p>
    <w:p w14:paraId="3DDD102A" w14:textId="416B6B80" w:rsidR="00521C2F" w:rsidRPr="00521C2F" w:rsidRDefault="005179DF" w:rsidP="005179DF">
      <w:pPr>
        <w:spacing w:before="100" w:beforeAutospacing="1" w:after="0" w:line="276" w:lineRule="auto"/>
        <w:rPr>
          <w:rFonts w:eastAsia="Times New Roman" w:cs="Times New Roman"/>
          <w:b/>
          <w:bCs/>
          <w:kern w:val="0"/>
          <w:sz w:val="24"/>
          <w:szCs w:val="24"/>
          <w:lang w:eastAsia="en-GB"/>
          <w14:ligatures w14:val="none"/>
        </w:rPr>
      </w:pPr>
      <w:r w:rsidRPr="005179DF">
        <w:rPr>
          <w:rFonts w:eastAsia="Times New Roman" w:cs="Times New Roman"/>
          <w:b/>
          <w:bCs/>
          <w:kern w:val="0"/>
          <w:sz w:val="24"/>
          <w:szCs w:val="24"/>
          <w:lang w:eastAsia="en-GB"/>
          <w14:ligatures w14:val="none"/>
        </w:rPr>
        <w:lastRenderedPageBreak/>
        <w:t>3</w:t>
      </w:r>
      <w:r w:rsidR="00521C2F" w:rsidRPr="00521C2F">
        <w:rPr>
          <w:rFonts w:eastAsia="Times New Roman" w:cs="Times New Roman"/>
          <w:b/>
          <w:bCs/>
          <w:kern w:val="0"/>
          <w:sz w:val="24"/>
          <w:szCs w:val="24"/>
          <w:lang w:eastAsia="en-GB"/>
          <w14:ligatures w14:val="none"/>
        </w:rPr>
        <w:t>.6 Building Partnerships and Capacity</w:t>
      </w:r>
    </w:p>
    <w:p w14:paraId="64C1E50F" w14:textId="77777777" w:rsidR="00521C2F" w:rsidRPr="00521C2F" w:rsidRDefault="00521C2F" w:rsidP="005179DF">
      <w:pPr>
        <w:spacing w:before="100" w:beforeAutospacing="1" w:after="0" w:line="276" w:lineRule="auto"/>
        <w:rPr>
          <w:rFonts w:eastAsia="Times New Roman" w:cs="Times New Roman"/>
          <w:kern w:val="0"/>
          <w:sz w:val="24"/>
          <w:szCs w:val="24"/>
          <w:u w:val="single"/>
          <w:lang w:eastAsia="en-GB"/>
          <w14:ligatures w14:val="none"/>
        </w:rPr>
      </w:pPr>
      <w:r w:rsidRPr="00521C2F">
        <w:rPr>
          <w:rFonts w:eastAsia="Times New Roman" w:cs="Times New Roman"/>
          <w:kern w:val="0"/>
          <w:sz w:val="24"/>
          <w:szCs w:val="24"/>
          <w:u w:val="single"/>
          <w:lang w:eastAsia="en-GB"/>
          <w14:ligatures w14:val="none"/>
        </w:rPr>
        <w:t>Aims and Focus</w:t>
      </w:r>
    </w:p>
    <w:p w14:paraId="7D7D6D6D" w14:textId="77777777" w:rsidR="00521C2F" w:rsidRPr="00521C2F" w:rsidRDefault="00521C2F" w:rsidP="005179DF">
      <w:p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This session explored how to strengthen public–private partnerships and local capacity to deliver investment at scale.</w:t>
      </w:r>
    </w:p>
    <w:p w14:paraId="4FDBEDE6" w14:textId="77777777" w:rsidR="00521C2F" w:rsidRPr="00521C2F" w:rsidRDefault="00521C2F" w:rsidP="005179DF">
      <w:pPr>
        <w:spacing w:before="100" w:beforeAutospacing="1" w:after="0" w:line="276" w:lineRule="auto"/>
        <w:rPr>
          <w:rFonts w:eastAsia="Times New Roman" w:cs="Times New Roman"/>
          <w:kern w:val="0"/>
          <w:sz w:val="24"/>
          <w:szCs w:val="24"/>
          <w:u w:val="single"/>
          <w:lang w:eastAsia="en-GB"/>
          <w14:ligatures w14:val="none"/>
        </w:rPr>
      </w:pPr>
      <w:r w:rsidRPr="00521C2F">
        <w:rPr>
          <w:rFonts w:eastAsia="Times New Roman" w:cs="Times New Roman"/>
          <w:kern w:val="0"/>
          <w:sz w:val="24"/>
          <w:szCs w:val="24"/>
          <w:u w:val="single"/>
          <w:lang w:eastAsia="en-GB"/>
          <w14:ligatures w14:val="none"/>
        </w:rPr>
        <w:t>Summary of Discussion</w:t>
      </w:r>
    </w:p>
    <w:p w14:paraId="434281C5" w14:textId="77777777" w:rsidR="00521C2F" w:rsidRPr="00521C2F" w:rsidRDefault="00521C2F" w:rsidP="005179DF">
      <w:p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The discussion emphasised that the core challenge is not ambition, but the ability to move from ideas to investment-ready propositions.</w:t>
      </w:r>
    </w:p>
    <w:p w14:paraId="69794E03" w14:textId="77777777" w:rsidR="00521C2F" w:rsidRPr="00521C2F" w:rsidRDefault="00521C2F" w:rsidP="005179DF">
      <w:p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Participants identified four consistent gaps across cities:</w:t>
      </w:r>
    </w:p>
    <w:p w14:paraId="6DB2B50F" w14:textId="77777777" w:rsidR="00521C2F" w:rsidRPr="005179DF" w:rsidRDefault="00521C2F" w:rsidP="00DC5AC8">
      <w:pPr>
        <w:pStyle w:val="ListParagraph"/>
        <w:numPr>
          <w:ilvl w:val="0"/>
          <w:numId w:val="28"/>
        </w:numPr>
        <w:spacing w:after="0" w:line="276" w:lineRule="auto"/>
        <w:rPr>
          <w:rFonts w:eastAsia="Times New Roman" w:cs="Times New Roman"/>
          <w:kern w:val="0"/>
          <w:sz w:val="24"/>
          <w:szCs w:val="24"/>
          <w:lang w:eastAsia="en-GB"/>
          <w14:ligatures w14:val="none"/>
        </w:rPr>
      </w:pPr>
      <w:r w:rsidRPr="005179DF">
        <w:rPr>
          <w:rFonts w:eastAsia="Times New Roman" w:cs="Times New Roman"/>
          <w:kern w:val="0"/>
          <w:sz w:val="24"/>
          <w:szCs w:val="24"/>
          <w:lang w:eastAsia="en-GB"/>
          <w14:ligatures w14:val="none"/>
        </w:rPr>
        <w:t>Capital – availability, cost and duration of funding</w:t>
      </w:r>
    </w:p>
    <w:p w14:paraId="7BD8F6D5" w14:textId="77777777" w:rsidR="00521C2F" w:rsidRPr="005179DF" w:rsidRDefault="00521C2F" w:rsidP="005179DF">
      <w:pPr>
        <w:pStyle w:val="ListParagraph"/>
        <w:numPr>
          <w:ilvl w:val="0"/>
          <w:numId w:val="28"/>
        </w:numPr>
        <w:spacing w:before="100" w:beforeAutospacing="1" w:after="0" w:line="276" w:lineRule="auto"/>
        <w:rPr>
          <w:rFonts w:eastAsia="Times New Roman" w:cs="Times New Roman"/>
          <w:kern w:val="0"/>
          <w:sz w:val="24"/>
          <w:szCs w:val="24"/>
          <w:lang w:eastAsia="en-GB"/>
          <w14:ligatures w14:val="none"/>
        </w:rPr>
      </w:pPr>
      <w:r w:rsidRPr="005179DF">
        <w:rPr>
          <w:rFonts w:eastAsia="Times New Roman" w:cs="Times New Roman"/>
          <w:kern w:val="0"/>
          <w:sz w:val="24"/>
          <w:szCs w:val="24"/>
          <w:lang w:eastAsia="en-GB"/>
          <w14:ligatures w14:val="none"/>
        </w:rPr>
        <w:t>Capacity – skills, resources and delivery capability</w:t>
      </w:r>
    </w:p>
    <w:p w14:paraId="4D824948" w14:textId="77777777" w:rsidR="00521C2F" w:rsidRPr="005179DF" w:rsidRDefault="00521C2F" w:rsidP="005179DF">
      <w:pPr>
        <w:pStyle w:val="ListParagraph"/>
        <w:numPr>
          <w:ilvl w:val="0"/>
          <w:numId w:val="28"/>
        </w:numPr>
        <w:spacing w:before="100" w:beforeAutospacing="1" w:after="0" w:line="276" w:lineRule="auto"/>
        <w:rPr>
          <w:rFonts w:eastAsia="Times New Roman" w:cs="Times New Roman"/>
          <w:kern w:val="0"/>
          <w:sz w:val="24"/>
          <w:szCs w:val="24"/>
          <w:lang w:eastAsia="en-GB"/>
          <w14:ligatures w14:val="none"/>
        </w:rPr>
      </w:pPr>
      <w:r w:rsidRPr="005179DF">
        <w:rPr>
          <w:rFonts w:eastAsia="Times New Roman" w:cs="Times New Roman"/>
          <w:kern w:val="0"/>
          <w:sz w:val="24"/>
          <w:szCs w:val="24"/>
          <w:lang w:eastAsia="en-GB"/>
          <w14:ligatures w14:val="none"/>
        </w:rPr>
        <w:t>Confidence – risk perception and counterparty clarity</w:t>
      </w:r>
    </w:p>
    <w:p w14:paraId="1A422B65" w14:textId="77777777" w:rsidR="00521C2F" w:rsidRPr="005179DF" w:rsidRDefault="00521C2F" w:rsidP="005179DF">
      <w:pPr>
        <w:pStyle w:val="ListParagraph"/>
        <w:numPr>
          <w:ilvl w:val="0"/>
          <w:numId w:val="28"/>
        </w:numPr>
        <w:spacing w:before="100" w:beforeAutospacing="1" w:after="0" w:line="276" w:lineRule="auto"/>
        <w:rPr>
          <w:rFonts w:eastAsia="Times New Roman" w:cs="Times New Roman"/>
          <w:kern w:val="0"/>
          <w:sz w:val="24"/>
          <w:szCs w:val="24"/>
          <w:lang w:eastAsia="en-GB"/>
          <w14:ligatures w14:val="none"/>
        </w:rPr>
      </w:pPr>
      <w:r w:rsidRPr="005179DF">
        <w:rPr>
          <w:rFonts w:eastAsia="Times New Roman" w:cs="Times New Roman"/>
          <w:kern w:val="0"/>
          <w:sz w:val="24"/>
          <w:szCs w:val="24"/>
          <w:lang w:eastAsia="en-GB"/>
          <w14:ligatures w14:val="none"/>
        </w:rPr>
        <w:t>Consistency – governance, process and decision-making pace</w:t>
      </w:r>
    </w:p>
    <w:p w14:paraId="77878C2B" w14:textId="77777777" w:rsidR="00521C2F" w:rsidRPr="00521C2F" w:rsidRDefault="00521C2F" w:rsidP="005179DF">
      <w:p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A key theme was the misalignment of timescales, with cities requiring long-term, patient capital, while much investment operates on shorter horizons.</w:t>
      </w:r>
    </w:p>
    <w:p w14:paraId="26193C98" w14:textId="77777777" w:rsidR="00521C2F" w:rsidRPr="00521C2F" w:rsidRDefault="00521C2F" w:rsidP="005179DF">
      <w:p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There was strong support for:</w:t>
      </w:r>
    </w:p>
    <w:p w14:paraId="31364725" w14:textId="77777777" w:rsidR="00521C2F" w:rsidRPr="00DC5AC8" w:rsidRDefault="00521C2F" w:rsidP="00DC5AC8">
      <w:pPr>
        <w:pStyle w:val="ListParagraph"/>
        <w:numPr>
          <w:ilvl w:val="0"/>
          <w:numId w:val="29"/>
        </w:numPr>
        <w:spacing w:after="0" w:line="276" w:lineRule="auto"/>
        <w:rPr>
          <w:rFonts w:eastAsia="Times New Roman" w:cs="Times New Roman"/>
          <w:kern w:val="0"/>
          <w:sz w:val="24"/>
          <w:szCs w:val="24"/>
          <w:lang w:eastAsia="en-GB"/>
          <w14:ligatures w14:val="none"/>
        </w:rPr>
      </w:pPr>
      <w:r w:rsidRPr="00DC5AC8">
        <w:rPr>
          <w:rFonts w:eastAsia="Times New Roman" w:cs="Times New Roman"/>
          <w:kern w:val="0"/>
          <w:sz w:val="24"/>
          <w:szCs w:val="24"/>
          <w:lang w:eastAsia="en-GB"/>
          <w14:ligatures w14:val="none"/>
        </w:rPr>
        <w:t>Earlier and deeper private sector involvement</w:t>
      </w:r>
    </w:p>
    <w:p w14:paraId="0A542B90" w14:textId="77777777" w:rsidR="00521C2F" w:rsidRPr="00DC5AC8" w:rsidRDefault="00521C2F" w:rsidP="00DC5AC8">
      <w:pPr>
        <w:pStyle w:val="ListParagraph"/>
        <w:numPr>
          <w:ilvl w:val="0"/>
          <w:numId w:val="29"/>
        </w:numPr>
        <w:spacing w:after="0" w:line="276" w:lineRule="auto"/>
        <w:rPr>
          <w:rFonts w:eastAsia="Times New Roman" w:cs="Times New Roman"/>
          <w:kern w:val="0"/>
          <w:sz w:val="24"/>
          <w:szCs w:val="24"/>
          <w:lang w:eastAsia="en-GB"/>
          <w14:ligatures w14:val="none"/>
        </w:rPr>
      </w:pPr>
      <w:r w:rsidRPr="00DC5AC8">
        <w:rPr>
          <w:rFonts w:eastAsia="Times New Roman" w:cs="Times New Roman"/>
          <w:kern w:val="0"/>
          <w:sz w:val="24"/>
          <w:szCs w:val="24"/>
          <w:lang w:eastAsia="en-GB"/>
          <w14:ligatures w14:val="none"/>
        </w:rPr>
        <w:t>Greater use of joint ventures and partnership models</w:t>
      </w:r>
    </w:p>
    <w:p w14:paraId="5A17F3F9" w14:textId="77777777" w:rsidR="00521C2F" w:rsidRPr="00DC5AC8" w:rsidRDefault="00521C2F" w:rsidP="00DC5AC8">
      <w:pPr>
        <w:pStyle w:val="ListParagraph"/>
        <w:numPr>
          <w:ilvl w:val="0"/>
          <w:numId w:val="29"/>
        </w:numPr>
        <w:spacing w:after="0" w:line="276" w:lineRule="auto"/>
        <w:rPr>
          <w:rFonts w:eastAsia="Times New Roman" w:cs="Times New Roman"/>
          <w:kern w:val="0"/>
          <w:sz w:val="24"/>
          <w:szCs w:val="24"/>
          <w:lang w:eastAsia="en-GB"/>
          <w14:ligatures w14:val="none"/>
        </w:rPr>
      </w:pPr>
      <w:r w:rsidRPr="00DC5AC8">
        <w:rPr>
          <w:rFonts w:eastAsia="Times New Roman" w:cs="Times New Roman"/>
          <w:kern w:val="0"/>
          <w:sz w:val="24"/>
          <w:szCs w:val="24"/>
          <w:lang w:eastAsia="en-GB"/>
          <w14:ligatures w14:val="none"/>
        </w:rPr>
        <w:t>A focus on outcomes rather than process</w:t>
      </w:r>
    </w:p>
    <w:p w14:paraId="63F78E4B" w14:textId="77777777" w:rsidR="00521C2F" w:rsidRPr="00521C2F" w:rsidRDefault="00521C2F" w:rsidP="005179DF">
      <w:pPr>
        <w:spacing w:before="100" w:beforeAutospacing="1"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Successful delivery was seen to depend on clear political leadership, shared priorities, and strong relationships, alongside the ability to demonstrate early progress.</w:t>
      </w:r>
    </w:p>
    <w:p w14:paraId="2B1AB03C" w14:textId="77777777" w:rsidR="00521C2F" w:rsidRPr="00521C2F" w:rsidRDefault="00521C2F" w:rsidP="005179DF">
      <w:pPr>
        <w:spacing w:before="100" w:beforeAutospacing="1" w:after="0" w:line="276" w:lineRule="auto"/>
        <w:rPr>
          <w:rFonts w:eastAsia="Times New Roman" w:cs="Times New Roman"/>
          <w:kern w:val="0"/>
          <w:sz w:val="24"/>
          <w:szCs w:val="24"/>
          <w:u w:val="single"/>
          <w:lang w:eastAsia="en-GB"/>
          <w14:ligatures w14:val="none"/>
        </w:rPr>
      </w:pPr>
      <w:r w:rsidRPr="00521C2F">
        <w:rPr>
          <w:rFonts w:eastAsia="Times New Roman" w:cs="Times New Roman"/>
          <w:kern w:val="0"/>
          <w:sz w:val="24"/>
          <w:szCs w:val="24"/>
          <w:u w:val="single"/>
          <w:lang w:eastAsia="en-GB"/>
          <w14:ligatures w14:val="none"/>
        </w:rPr>
        <w:t>Key Actions / Follow-Up</w:t>
      </w:r>
    </w:p>
    <w:p w14:paraId="39E7B13C" w14:textId="77777777" w:rsidR="00521C2F" w:rsidRPr="00521C2F" w:rsidRDefault="00521C2F" w:rsidP="00DC5AC8">
      <w:pPr>
        <w:pStyle w:val="ListParagraph"/>
        <w:numPr>
          <w:ilvl w:val="0"/>
          <w:numId w:val="30"/>
        </w:numPr>
        <w:spacing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 xml:space="preserve">Promote </w:t>
      </w:r>
      <w:r w:rsidRPr="00521C2F">
        <w:rPr>
          <w:rFonts w:eastAsia="Times New Roman" w:cs="Times New Roman"/>
          <w:b/>
          <w:bCs/>
          <w:kern w:val="0"/>
          <w:sz w:val="24"/>
          <w:szCs w:val="24"/>
          <w:lang w:eastAsia="en-GB"/>
          <w14:ligatures w14:val="none"/>
        </w:rPr>
        <w:t>earlier co-design of projects</w:t>
      </w:r>
      <w:r w:rsidRPr="00521C2F">
        <w:rPr>
          <w:rFonts w:eastAsia="Times New Roman" w:cs="Times New Roman"/>
          <w:kern w:val="0"/>
          <w:sz w:val="24"/>
          <w:szCs w:val="24"/>
          <w:lang w:eastAsia="en-GB"/>
          <w14:ligatures w14:val="none"/>
        </w:rPr>
        <w:t xml:space="preserve"> with partners to reduce risk and improve delivery.</w:t>
      </w:r>
    </w:p>
    <w:p w14:paraId="0887108F" w14:textId="77777777" w:rsidR="00521C2F" w:rsidRPr="00521C2F" w:rsidRDefault="00521C2F" w:rsidP="00DC5AC8">
      <w:pPr>
        <w:pStyle w:val="ListParagraph"/>
        <w:numPr>
          <w:ilvl w:val="0"/>
          <w:numId w:val="30"/>
        </w:numPr>
        <w:spacing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 xml:space="preserve">Develop and share </w:t>
      </w:r>
      <w:r w:rsidRPr="00521C2F">
        <w:rPr>
          <w:rFonts w:eastAsia="Times New Roman" w:cs="Times New Roman"/>
          <w:b/>
          <w:bCs/>
          <w:kern w:val="0"/>
          <w:sz w:val="24"/>
          <w:szCs w:val="24"/>
          <w:lang w:eastAsia="en-GB"/>
          <w14:ligatures w14:val="none"/>
        </w:rPr>
        <w:t>transferable partnership models</w:t>
      </w:r>
      <w:r w:rsidRPr="00521C2F">
        <w:rPr>
          <w:rFonts w:eastAsia="Times New Roman" w:cs="Times New Roman"/>
          <w:kern w:val="0"/>
          <w:sz w:val="24"/>
          <w:szCs w:val="24"/>
          <w:lang w:eastAsia="en-GB"/>
          <w14:ligatures w14:val="none"/>
        </w:rPr>
        <w:t xml:space="preserve"> and best practice across Core Cities.</w:t>
      </w:r>
    </w:p>
    <w:p w14:paraId="4092F58C" w14:textId="77777777" w:rsidR="00521C2F" w:rsidRPr="00521C2F" w:rsidRDefault="00521C2F" w:rsidP="00DC5AC8">
      <w:pPr>
        <w:pStyle w:val="ListParagraph"/>
        <w:numPr>
          <w:ilvl w:val="0"/>
          <w:numId w:val="30"/>
        </w:numPr>
        <w:spacing w:after="0" w:line="276" w:lineRule="auto"/>
        <w:rPr>
          <w:rFonts w:eastAsia="Times New Roman" w:cs="Times New Roman"/>
          <w:kern w:val="0"/>
          <w:sz w:val="24"/>
          <w:szCs w:val="24"/>
          <w:lang w:eastAsia="en-GB"/>
          <w14:ligatures w14:val="none"/>
        </w:rPr>
      </w:pPr>
      <w:r w:rsidRPr="00521C2F">
        <w:rPr>
          <w:rFonts w:eastAsia="Times New Roman" w:cs="Times New Roman"/>
          <w:b/>
          <w:bCs/>
          <w:kern w:val="0"/>
          <w:sz w:val="24"/>
          <w:szCs w:val="24"/>
          <w:lang w:eastAsia="en-GB"/>
          <w14:ligatures w14:val="none"/>
        </w:rPr>
        <w:t>Focus capacity on priority interventions and pipelines</w:t>
      </w:r>
      <w:r w:rsidRPr="00521C2F">
        <w:rPr>
          <w:rFonts w:eastAsia="Times New Roman" w:cs="Times New Roman"/>
          <w:kern w:val="0"/>
          <w:sz w:val="24"/>
          <w:szCs w:val="24"/>
          <w:lang w:eastAsia="en-GB"/>
          <w14:ligatures w14:val="none"/>
        </w:rPr>
        <w:t>, rather than dispersed activity.</w:t>
      </w:r>
    </w:p>
    <w:p w14:paraId="60E2CD28" w14:textId="77777777" w:rsidR="00521C2F" w:rsidRPr="00521C2F" w:rsidRDefault="00521C2F" w:rsidP="00DC5AC8">
      <w:pPr>
        <w:pStyle w:val="ListParagraph"/>
        <w:numPr>
          <w:ilvl w:val="0"/>
          <w:numId w:val="30"/>
        </w:numPr>
        <w:spacing w:after="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 xml:space="preserve">Balance short-term wins with </w:t>
      </w:r>
      <w:r w:rsidRPr="00521C2F">
        <w:rPr>
          <w:rFonts w:eastAsia="Times New Roman" w:cs="Times New Roman"/>
          <w:b/>
          <w:bCs/>
          <w:kern w:val="0"/>
          <w:sz w:val="24"/>
          <w:szCs w:val="24"/>
          <w:lang w:eastAsia="en-GB"/>
          <w14:ligatures w14:val="none"/>
        </w:rPr>
        <w:t>long-term delivery frameworks</w:t>
      </w:r>
      <w:r w:rsidRPr="00521C2F">
        <w:rPr>
          <w:rFonts w:eastAsia="Times New Roman" w:cs="Times New Roman"/>
          <w:kern w:val="0"/>
          <w:sz w:val="24"/>
          <w:szCs w:val="24"/>
          <w:lang w:eastAsia="en-GB"/>
          <w14:ligatures w14:val="none"/>
        </w:rPr>
        <w:t xml:space="preserve"> to build market confidence.</w:t>
      </w:r>
    </w:p>
    <w:p w14:paraId="782C00D1" w14:textId="37AE7D80" w:rsidR="00521C2F" w:rsidRPr="00521C2F" w:rsidRDefault="00521C2F" w:rsidP="00855C9C">
      <w:pPr>
        <w:spacing w:after="0" w:line="276" w:lineRule="auto"/>
        <w:rPr>
          <w:rFonts w:eastAsia="Times New Roman" w:cs="Times New Roman"/>
          <w:kern w:val="0"/>
          <w:sz w:val="24"/>
          <w:szCs w:val="24"/>
          <w:lang w:eastAsia="en-GB"/>
          <w14:ligatures w14:val="none"/>
        </w:rPr>
      </w:pPr>
    </w:p>
    <w:p w14:paraId="05413C41" w14:textId="77777777" w:rsidR="00DC5AC8" w:rsidRDefault="00DC5AC8" w:rsidP="00855C9C">
      <w:pPr>
        <w:spacing w:after="0" w:line="276" w:lineRule="auto"/>
        <w:rPr>
          <w:rFonts w:eastAsia="Times New Roman" w:cs="Times New Roman"/>
          <w:b/>
          <w:bCs/>
          <w:kern w:val="0"/>
          <w:sz w:val="36"/>
          <w:szCs w:val="36"/>
          <w:lang w:eastAsia="en-GB"/>
          <w14:ligatures w14:val="none"/>
        </w:rPr>
      </w:pPr>
    </w:p>
    <w:p w14:paraId="547E8D28" w14:textId="77777777" w:rsidR="00DC5AC8" w:rsidRDefault="00DC5AC8" w:rsidP="00855C9C">
      <w:pPr>
        <w:spacing w:after="0" w:line="276" w:lineRule="auto"/>
        <w:rPr>
          <w:rFonts w:eastAsia="Times New Roman" w:cs="Times New Roman"/>
          <w:b/>
          <w:bCs/>
          <w:kern w:val="0"/>
          <w:sz w:val="36"/>
          <w:szCs w:val="36"/>
          <w:lang w:eastAsia="en-GB"/>
          <w14:ligatures w14:val="none"/>
        </w:rPr>
      </w:pPr>
    </w:p>
    <w:p w14:paraId="360614D9" w14:textId="77777777" w:rsidR="00DC5AC8" w:rsidRDefault="00DC5AC8" w:rsidP="00855C9C">
      <w:pPr>
        <w:spacing w:after="0" w:line="276" w:lineRule="auto"/>
        <w:rPr>
          <w:rFonts w:eastAsia="Times New Roman" w:cs="Times New Roman"/>
          <w:b/>
          <w:bCs/>
          <w:kern w:val="0"/>
          <w:sz w:val="36"/>
          <w:szCs w:val="36"/>
          <w:lang w:eastAsia="en-GB"/>
          <w14:ligatures w14:val="none"/>
        </w:rPr>
      </w:pPr>
    </w:p>
    <w:p w14:paraId="4B28435E" w14:textId="32B13D04" w:rsidR="00521C2F" w:rsidRDefault="00521C2F" w:rsidP="00855C9C">
      <w:pPr>
        <w:spacing w:after="0" w:line="276" w:lineRule="auto"/>
        <w:rPr>
          <w:rFonts w:eastAsia="Times New Roman" w:cs="Times New Roman"/>
          <w:b/>
          <w:bCs/>
          <w:kern w:val="0"/>
          <w:sz w:val="24"/>
          <w:szCs w:val="24"/>
          <w:lang w:eastAsia="en-GB"/>
          <w14:ligatures w14:val="none"/>
        </w:rPr>
      </w:pPr>
      <w:r w:rsidRPr="00521C2F">
        <w:rPr>
          <w:rFonts w:eastAsia="Times New Roman" w:cs="Times New Roman"/>
          <w:b/>
          <w:bCs/>
          <w:kern w:val="0"/>
          <w:sz w:val="24"/>
          <w:szCs w:val="24"/>
          <w:lang w:eastAsia="en-GB"/>
          <w14:ligatures w14:val="none"/>
        </w:rPr>
        <w:t>4. Emerging Priorities and Next Steps</w:t>
      </w:r>
    </w:p>
    <w:p w14:paraId="62AD4749" w14:textId="088A2465" w:rsidR="00521C2F" w:rsidRPr="00521C2F" w:rsidRDefault="00521C2F" w:rsidP="00DC5AC8">
      <w:pPr>
        <w:spacing w:before="240" w:line="276" w:lineRule="auto"/>
        <w:rPr>
          <w:rFonts w:eastAsia="Times New Roman" w:cs="Times New Roman"/>
          <w:kern w:val="0"/>
          <w:sz w:val="24"/>
          <w:szCs w:val="24"/>
          <w:lang w:eastAsia="en-GB"/>
          <w14:ligatures w14:val="none"/>
        </w:rPr>
      </w:pPr>
      <w:r w:rsidRPr="00521C2F">
        <w:rPr>
          <w:rFonts w:eastAsia="Times New Roman" w:cs="Times New Roman"/>
          <w:kern w:val="0"/>
          <w:sz w:val="24"/>
          <w:szCs w:val="24"/>
          <w:lang w:eastAsia="en-GB"/>
          <w14:ligatures w14:val="none"/>
        </w:rPr>
        <w:t>The discussions point</w:t>
      </w:r>
      <w:r w:rsidR="00DC5AC8">
        <w:rPr>
          <w:rFonts w:eastAsia="Times New Roman" w:cs="Times New Roman"/>
          <w:kern w:val="0"/>
          <w:sz w:val="24"/>
          <w:szCs w:val="24"/>
          <w:lang w:eastAsia="en-GB"/>
          <w14:ligatures w14:val="none"/>
        </w:rPr>
        <w:t>ed</w:t>
      </w:r>
      <w:r w:rsidRPr="00521C2F">
        <w:rPr>
          <w:rFonts w:eastAsia="Times New Roman" w:cs="Times New Roman"/>
          <w:kern w:val="0"/>
          <w:sz w:val="24"/>
          <w:szCs w:val="24"/>
          <w:lang w:eastAsia="en-GB"/>
          <w14:ligatures w14:val="none"/>
        </w:rPr>
        <w:t xml:space="preserve"> to a clear set of priorities for further work:</w:t>
      </w:r>
    </w:p>
    <w:p w14:paraId="2C94A911" w14:textId="77777777" w:rsidR="00521C2F" w:rsidRPr="00DC5AC8" w:rsidRDefault="00521C2F" w:rsidP="00DC5AC8">
      <w:pPr>
        <w:pStyle w:val="ListParagraph"/>
        <w:numPr>
          <w:ilvl w:val="0"/>
          <w:numId w:val="31"/>
        </w:numPr>
        <w:spacing w:after="0" w:line="276" w:lineRule="auto"/>
        <w:rPr>
          <w:rFonts w:eastAsia="Times New Roman" w:cs="Times New Roman"/>
          <w:kern w:val="0"/>
          <w:sz w:val="24"/>
          <w:szCs w:val="24"/>
          <w:lang w:eastAsia="en-GB"/>
          <w14:ligatures w14:val="none"/>
        </w:rPr>
      </w:pPr>
      <w:r w:rsidRPr="00DC5AC8">
        <w:rPr>
          <w:rFonts w:eastAsia="Times New Roman" w:cs="Times New Roman"/>
          <w:b/>
          <w:bCs/>
          <w:kern w:val="0"/>
          <w:sz w:val="24"/>
          <w:szCs w:val="24"/>
          <w:lang w:eastAsia="en-GB"/>
          <w14:ligatures w14:val="none"/>
        </w:rPr>
        <w:t>Develop scalable, place-based investment models</w:t>
      </w:r>
      <w:r w:rsidRPr="00DC5AC8">
        <w:rPr>
          <w:rFonts w:eastAsia="Times New Roman" w:cs="Times New Roman"/>
          <w:kern w:val="0"/>
          <w:sz w:val="24"/>
          <w:szCs w:val="24"/>
          <w:lang w:eastAsia="en-GB"/>
          <w14:ligatures w14:val="none"/>
        </w:rPr>
        <w:t>, including revolving funds and blended finance approaches</w:t>
      </w:r>
    </w:p>
    <w:p w14:paraId="5E26BA14" w14:textId="77777777" w:rsidR="00521C2F" w:rsidRPr="00DC5AC8" w:rsidRDefault="00521C2F" w:rsidP="00DC5AC8">
      <w:pPr>
        <w:pStyle w:val="ListParagraph"/>
        <w:numPr>
          <w:ilvl w:val="0"/>
          <w:numId w:val="31"/>
        </w:numPr>
        <w:spacing w:after="0" w:line="276" w:lineRule="auto"/>
        <w:rPr>
          <w:rFonts w:eastAsia="Times New Roman" w:cs="Times New Roman"/>
          <w:kern w:val="0"/>
          <w:sz w:val="24"/>
          <w:szCs w:val="24"/>
          <w:lang w:eastAsia="en-GB"/>
          <w14:ligatures w14:val="none"/>
        </w:rPr>
      </w:pPr>
      <w:r w:rsidRPr="00DC5AC8">
        <w:rPr>
          <w:rFonts w:eastAsia="Times New Roman" w:cs="Times New Roman"/>
          <w:b/>
          <w:bCs/>
          <w:kern w:val="0"/>
          <w:sz w:val="24"/>
          <w:szCs w:val="24"/>
          <w:lang w:eastAsia="en-GB"/>
          <w14:ligatures w14:val="none"/>
        </w:rPr>
        <w:t>Strengthen the pipeline of investable projects</w:t>
      </w:r>
      <w:r w:rsidRPr="00DC5AC8">
        <w:rPr>
          <w:rFonts w:eastAsia="Times New Roman" w:cs="Times New Roman"/>
          <w:kern w:val="0"/>
          <w:sz w:val="24"/>
          <w:szCs w:val="24"/>
          <w:lang w:eastAsia="en-GB"/>
          <w14:ligatures w14:val="none"/>
        </w:rPr>
        <w:t>, supported by improved data, coordination and technical capability</w:t>
      </w:r>
    </w:p>
    <w:p w14:paraId="0EBD875B" w14:textId="77777777" w:rsidR="00521C2F" w:rsidRPr="00DC5AC8" w:rsidRDefault="00521C2F" w:rsidP="00DC5AC8">
      <w:pPr>
        <w:pStyle w:val="ListParagraph"/>
        <w:numPr>
          <w:ilvl w:val="0"/>
          <w:numId w:val="31"/>
        </w:numPr>
        <w:spacing w:after="0" w:line="276" w:lineRule="auto"/>
        <w:rPr>
          <w:rFonts w:eastAsia="Times New Roman" w:cs="Times New Roman"/>
          <w:kern w:val="0"/>
          <w:sz w:val="24"/>
          <w:szCs w:val="24"/>
          <w:lang w:eastAsia="en-GB"/>
          <w14:ligatures w14:val="none"/>
        </w:rPr>
      </w:pPr>
      <w:r w:rsidRPr="00DC5AC8">
        <w:rPr>
          <w:rFonts w:eastAsia="Times New Roman" w:cs="Times New Roman"/>
          <w:b/>
          <w:bCs/>
          <w:kern w:val="0"/>
          <w:sz w:val="24"/>
          <w:szCs w:val="24"/>
          <w:lang w:eastAsia="en-GB"/>
          <w14:ligatures w14:val="none"/>
        </w:rPr>
        <w:t>Clarify the role of national institutions</w:t>
      </w:r>
      <w:r w:rsidRPr="00DC5AC8">
        <w:rPr>
          <w:rFonts w:eastAsia="Times New Roman" w:cs="Times New Roman"/>
          <w:kern w:val="0"/>
          <w:sz w:val="24"/>
          <w:szCs w:val="24"/>
          <w:lang w:eastAsia="en-GB"/>
          <w14:ligatures w14:val="none"/>
        </w:rPr>
        <w:t xml:space="preserve"> in taking risk and supporting delivery</w:t>
      </w:r>
    </w:p>
    <w:p w14:paraId="17FE6BBA" w14:textId="77777777" w:rsidR="00521C2F" w:rsidRPr="00DC5AC8" w:rsidRDefault="00521C2F" w:rsidP="00DC5AC8">
      <w:pPr>
        <w:pStyle w:val="ListParagraph"/>
        <w:numPr>
          <w:ilvl w:val="0"/>
          <w:numId w:val="31"/>
        </w:numPr>
        <w:spacing w:after="0" w:line="276" w:lineRule="auto"/>
        <w:rPr>
          <w:rFonts w:eastAsia="Times New Roman" w:cs="Times New Roman"/>
          <w:kern w:val="0"/>
          <w:sz w:val="24"/>
          <w:szCs w:val="24"/>
          <w:lang w:eastAsia="en-GB"/>
          <w14:ligatures w14:val="none"/>
        </w:rPr>
      </w:pPr>
      <w:r w:rsidRPr="00DC5AC8">
        <w:rPr>
          <w:rFonts w:eastAsia="Times New Roman" w:cs="Times New Roman"/>
          <w:b/>
          <w:bCs/>
          <w:kern w:val="0"/>
          <w:sz w:val="24"/>
          <w:szCs w:val="24"/>
          <w:lang w:eastAsia="en-GB"/>
          <w14:ligatures w14:val="none"/>
        </w:rPr>
        <w:t>Enhance local capacity and partnerships</w:t>
      </w:r>
      <w:r w:rsidRPr="00DC5AC8">
        <w:rPr>
          <w:rFonts w:eastAsia="Times New Roman" w:cs="Times New Roman"/>
          <w:kern w:val="0"/>
          <w:sz w:val="24"/>
          <w:szCs w:val="24"/>
          <w:lang w:eastAsia="en-GB"/>
          <w14:ligatures w14:val="none"/>
        </w:rPr>
        <w:t>, including through shared resources and best practice</w:t>
      </w:r>
    </w:p>
    <w:p w14:paraId="167784DB" w14:textId="77777777" w:rsidR="00521C2F" w:rsidRDefault="00521C2F" w:rsidP="00DC5AC8">
      <w:pPr>
        <w:pStyle w:val="ListParagraph"/>
        <w:numPr>
          <w:ilvl w:val="0"/>
          <w:numId w:val="31"/>
        </w:numPr>
        <w:spacing w:after="0" w:line="276" w:lineRule="auto"/>
        <w:rPr>
          <w:rFonts w:eastAsia="Times New Roman" w:cs="Times New Roman"/>
          <w:kern w:val="0"/>
          <w:sz w:val="24"/>
          <w:szCs w:val="24"/>
          <w:lang w:eastAsia="en-GB"/>
          <w14:ligatures w14:val="none"/>
        </w:rPr>
      </w:pPr>
      <w:r w:rsidRPr="00DC5AC8">
        <w:rPr>
          <w:rFonts w:eastAsia="Times New Roman" w:cs="Times New Roman"/>
          <w:b/>
          <w:bCs/>
          <w:kern w:val="0"/>
          <w:sz w:val="24"/>
          <w:szCs w:val="24"/>
          <w:lang w:eastAsia="en-GB"/>
          <w14:ligatures w14:val="none"/>
        </w:rPr>
        <w:t>Improve alignment across policy and funding frameworks</w:t>
      </w:r>
      <w:r w:rsidRPr="00DC5AC8">
        <w:rPr>
          <w:rFonts w:eastAsia="Times New Roman" w:cs="Times New Roman"/>
          <w:kern w:val="0"/>
          <w:sz w:val="24"/>
          <w:szCs w:val="24"/>
          <w:lang w:eastAsia="en-GB"/>
          <w14:ligatures w14:val="none"/>
        </w:rPr>
        <w:t>, reducing fragmentation and enabling long-term delivery</w:t>
      </w:r>
    </w:p>
    <w:p w14:paraId="641D8E78" w14:textId="77777777" w:rsidR="00DC5AC8" w:rsidRPr="00DC5AC8" w:rsidRDefault="00DC5AC8" w:rsidP="00DC5AC8">
      <w:pPr>
        <w:pStyle w:val="ListParagraph"/>
        <w:spacing w:after="0" w:line="276" w:lineRule="auto"/>
        <w:rPr>
          <w:rFonts w:eastAsia="Times New Roman" w:cs="Times New Roman"/>
          <w:kern w:val="0"/>
          <w:sz w:val="24"/>
          <w:szCs w:val="24"/>
          <w:lang w:eastAsia="en-GB"/>
          <w14:ligatures w14:val="none"/>
        </w:rPr>
      </w:pPr>
    </w:p>
    <w:p w14:paraId="02308793" w14:textId="72EB9B2C" w:rsidR="00521C2F" w:rsidRPr="00521C2F" w:rsidRDefault="00DC5AC8" w:rsidP="00855C9C">
      <w:pPr>
        <w:spacing w:after="0" w:line="276" w:lineRule="auto"/>
        <w:rPr>
          <w:rFonts w:eastAsia="Times New Roman" w:cs="Times New Roman"/>
          <w:kern w:val="0"/>
          <w:sz w:val="24"/>
          <w:szCs w:val="24"/>
          <w:lang w:eastAsia="en-GB"/>
          <w14:ligatures w14:val="none"/>
        </w:rPr>
      </w:pPr>
      <w:r>
        <w:rPr>
          <w:rFonts w:eastAsia="Times New Roman" w:cs="Times New Roman"/>
          <w:kern w:val="0"/>
          <w:sz w:val="24"/>
          <w:szCs w:val="24"/>
          <w:lang w:eastAsia="en-GB"/>
          <w14:ligatures w14:val="none"/>
        </w:rPr>
        <w:t xml:space="preserve">As </w:t>
      </w:r>
      <w:r w:rsidR="00521C2F" w:rsidRPr="00521C2F">
        <w:rPr>
          <w:rFonts w:eastAsia="Times New Roman" w:cs="Times New Roman"/>
          <w:kern w:val="0"/>
          <w:sz w:val="24"/>
          <w:szCs w:val="24"/>
          <w:lang w:eastAsia="en-GB"/>
          <w14:ligatures w14:val="none"/>
        </w:rPr>
        <w:t xml:space="preserve">Core Cities, </w:t>
      </w:r>
      <w:r>
        <w:rPr>
          <w:rFonts w:eastAsia="Times New Roman" w:cs="Times New Roman"/>
          <w:kern w:val="0"/>
          <w:sz w:val="24"/>
          <w:szCs w:val="24"/>
          <w:lang w:eastAsia="en-GB"/>
          <w14:ligatures w14:val="none"/>
        </w:rPr>
        <w:t xml:space="preserve">we are keen to continue </w:t>
      </w:r>
      <w:r w:rsidR="00521C2F" w:rsidRPr="00521C2F">
        <w:rPr>
          <w:rFonts w:eastAsia="Times New Roman" w:cs="Times New Roman"/>
          <w:kern w:val="0"/>
          <w:sz w:val="24"/>
          <w:szCs w:val="24"/>
          <w:lang w:eastAsia="en-GB"/>
          <w14:ligatures w14:val="none"/>
        </w:rPr>
        <w:t xml:space="preserve">working with </w:t>
      </w:r>
      <w:r>
        <w:rPr>
          <w:rFonts w:eastAsia="Times New Roman" w:cs="Times New Roman"/>
          <w:kern w:val="0"/>
          <w:sz w:val="24"/>
          <w:szCs w:val="24"/>
          <w:lang w:eastAsia="en-GB"/>
          <w14:ligatures w14:val="none"/>
        </w:rPr>
        <w:t xml:space="preserve">national and regional </w:t>
      </w:r>
      <w:r w:rsidR="00521C2F" w:rsidRPr="00521C2F">
        <w:rPr>
          <w:rFonts w:eastAsia="Times New Roman" w:cs="Times New Roman"/>
          <w:kern w:val="0"/>
          <w:sz w:val="24"/>
          <w:szCs w:val="24"/>
          <w:lang w:eastAsia="en-GB"/>
          <w14:ligatures w14:val="none"/>
        </w:rPr>
        <w:t>Government</w:t>
      </w:r>
      <w:r>
        <w:rPr>
          <w:rFonts w:eastAsia="Times New Roman" w:cs="Times New Roman"/>
          <w:kern w:val="0"/>
          <w:sz w:val="24"/>
          <w:szCs w:val="24"/>
          <w:lang w:eastAsia="en-GB"/>
          <w14:ligatures w14:val="none"/>
        </w:rPr>
        <w:t>, public investment institutions</w:t>
      </w:r>
      <w:r w:rsidR="00521C2F" w:rsidRPr="00521C2F">
        <w:rPr>
          <w:rFonts w:eastAsia="Times New Roman" w:cs="Times New Roman"/>
          <w:kern w:val="0"/>
          <w:sz w:val="24"/>
          <w:szCs w:val="24"/>
          <w:lang w:eastAsia="en-GB"/>
          <w14:ligatures w14:val="none"/>
        </w:rPr>
        <w:t xml:space="preserve"> and </w:t>
      </w:r>
      <w:r>
        <w:rPr>
          <w:rFonts w:eastAsia="Times New Roman" w:cs="Times New Roman"/>
          <w:kern w:val="0"/>
          <w:sz w:val="24"/>
          <w:szCs w:val="24"/>
          <w:lang w:eastAsia="en-GB"/>
          <w14:ligatures w14:val="none"/>
        </w:rPr>
        <w:t xml:space="preserve">private sector </w:t>
      </w:r>
      <w:r w:rsidR="00521C2F" w:rsidRPr="00521C2F">
        <w:rPr>
          <w:rFonts w:eastAsia="Times New Roman" w:cs="Times New Roman"/>
          <w:kern w:val="0"/>
          <w:sz w:val="24"/>
          <w:szCs w:val="24"/>
          <w:lang w:eastAsia="en-GB"/>
          <w14:ligatures w14:val="none"/>
        </w:rPr>
        <w:t>partners, to take forward a more coordinated, programmatic approach to urban investment, building on the shared ambition and momentum demonstrated at the Summit.</w:t>
      </w:r>
    </w:p>
    <w:p w14:paraId="30E20C1B" w14:textId="77777777" w:rsidR="003E2610" w:rsidRPr="00521C2F" w:rsidRDefault="003E2610" w:rsidP="00855C9C">
      <w:pPr>
        <w:spacing w:after="0" w:line="276" w:lineRule="auto"/>
      </w:pPr>
    </w:p>
    <w:sectPr w:rsidR="003E2610" w:rsidRPr="00521C2F" w:rsidSect="00855C9C">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058E"/>
    <w:multiLevelType w:val="multilevel"/>
    <w:tmpl w:val="B06CB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1338C"/>
    <w:multiLevelType w:val="hybridMultilevel"/>
    <w:tmpl w:val="8B328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481C68"/>
    <w:multiLevelType w:val="hybridMultilevel"/>
    <w:tmpl w:val="11F07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D001DF"/>
    <w:multiLevelType w:val="multilevel"/>
    <w:tmpl w:val="CA281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A76B5F"/>
    <w:multiLevelType w:val="multilevel"/>
    <w:tmpl w:val="ED625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70223A"/>
    <w:multiLevelType w:val="hybridMultilevel"/>
    <w:tmpl w:val="8C7E2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17105A"/>
    <w:multiLevelType w:val="hybridMultilevel"/>
    <w:tmpl w:val="67B4CA5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1890B20"/>
    <w:multiLevelType w:val="multilevel"/>
    <w:tmpl w:val="D27C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6D2876"/>
    <w:multiLevelType w:val="hybridMultilevel"/>
    <w:tmpl w:val="F3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7B3005"/>
    <w:multiLevelType w:val="multilevel"/>
    <w:tmpl w:val="E764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440F3D"/>
    <w:multiLevelType w:val="multilevel"/>
    <w:tmpl w:val="AEDE1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59265D"/>
    <w:multiLevelType w:val="multilevel"/>
    <w:tmpl w:val="D5828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3502BD"/>
    <w:multiLevelType w:val="multilevel"/>
    <w:tmpl w:val="976EF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38513D"/>
    <w:multiLevelType w:val="multilevel"/>
    <w:tmpl w:val="97307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6C7EE1"/>
    <w:multiLevelType w:val="multilevel"/>
    <w:tmpl w:val="A8D8F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B85295"/>
    <w:multiLevelType w:val="multilevel"/>
    <w:tmpl w:val="B5168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A2422A"/>
    <w:multiLevelType w:val="hybridMultilevel"/>
    <w:tmpl w:val="FB9E7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515AFE"/>
    <w:multiLevelType w:val="multilevel"/>
    <w:tmpl w:val="2E20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9B2E24"/>
    <w:multiLevelType w:val="multilevel"/>
    <w:tmpl w:val="C3D6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422906"/>
    <w:multiLevelType w:val="multilevel"/>
    <w:tmpl w:val="F2B2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72326C"/>
    <w:multiLevelType w:val="multilevel"/>
    <w:tmpl w:val="45648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5C0B4A"/>
    <w:multiLevelType w:val="multilevel"/>
    <w:tmpl w:val="90323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163402"/>
    <w:multiLevelType w:val="hybridMultilevel"/>
    <w:tmpl w:val="67B4CA5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5D020DB"/>
    <w:multiLevelType w:val="multilevel"/>
    <w:tmpl w:val="4F12C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DA67BE"/>
    <w:multiLevelType w:val="multilevel"/>
    <w:tmpl w:val="4C92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1E0429"/>
    <w:multiLevelType w:val="hybridMultilevel"/>
    <w:tmpl w:val="67B4CA5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F321C48"/>
    <w:multiLevelType w:val="multilevel"/>
    <w:tmpl w:val="717C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F97449"/>
    <w:multiLevelType w:val="hybridMultilevel"/>
    <w:tmpl w:val="B04E4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F60177"/>
    <w:multiLevelType w:val="hybridMultilevel"/>
    <w:tmpl w:val="67B4CA5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8E07C39"/>
    <w:multiLevelType w:val="hybridMultilevel"/>
    <w:tmpl w:val="C2D863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DC6B54"/>
    <w:multiLevelType w:val="multilevel"/>
    <w:tmpl w:val="A648B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6411255">
    <w:abstractNumId w:val="14"/>
  </w:num>
  <w:num w:numId="2" w16cid:durableId="135730590">
    <w:abstractNumId w:val="9"/>
  </w:num>
  <w:num w:numId="3" w16cid:durableId="1873300990">
    <w:abstractNumId w:val="3"/>
  </w:num>
  <w:num w:numId="4" w16cid:durableId="504365722">
    <w:abstractNumId w:val="12"/>
  </w:num>
  <w:num w:numId="5" w16cid:durableId="630744398">
    <w:abstractNumId w:val="0"/>
  </w:num>
  <w:num w:numId="6" w16cid:durableId="867180164">
    <w:abstractNumId w:val="11"/>
  </w:num>
  <w:num w:numId="7" w16cid:durableId="893544880">
    <w:abstractNumId w:val="20"/>
  </w:num>
  <w:num w:numId="8" w16cid:durableId="1464543088">
    <w:abstractNumId w:val="13"/>
  </w:num>
  <w:num w:numId="9" w16cid:durableId="1152525110">
    <w:abstractNumId w:val="7"/>
  </w:num>
  <w:num w:numId="10" w16cid:durableId="618877542">
    <w:abstractNumId w:val="4"/>
  </w:num>
  <w:num w:numId="11" w16cid:durableId="524632184">
    <w:abstractNumId w:val="24"/>
  </w:num>
  <w:num w:numId="12" w16cid:durableId="1720594026">
    <w:abstractNumId w:val="30"/>
  </w:num>
  <w:num w:numId="13" w16cid:durableId="443765196">
    <w:abstractNumId w:val="18"/>
  </w:num>
  <w:num w:numId="14" w16cid:durableId="1096365557">
    <w:abstractNumId w:val="17"/>
  </w:num>
  <w:num w:numId="15" w16cid:durableId="1284532169">
    <w:abstractNumId w:val="10"/>
  </w:num>
  <w:num w:numId="16" w16cid:durableId="641352710">
    <w:abstractNumId w:val="21"/>
  </w:num>
  <w:num w:numId="17" w16cid:durableId="1185704929">
    <w:abstractNumId w:val="26"/>
  </w:num>
  <w:num w:numId="18" w16cid:durableId="171574163">
    <w:abstractNumId w:val="23"/>
  </w:num>
  <w:num w:numId="19" w16cid:durableId="897664826">
    <w:abstractNumId w:val="19"/>
  </w:num>
  <w:num w:numId="20" w16cid:durableId="1671057533">
    <w:abstractNumId w:val="15"/>
  </w:num>
  <w:num w:numId="21" w16cid:durableId="456872488">
    <w:abstractNumId w:val="2"/>
  </w:num>
  <w:num w:numId="22" w16cid:durableId="907963372">
    <w:abstractNumId w:val="1"/>
  </w:num>
  <w:num w:numId="23" w16cid:durableId="1392268531">
    <w:abstractNumId w:val="25"/>
  </w:num>
  <w:num w:numId="24" w16cid:durableId="278148938">
    <w:abstractNumId w:val="16"/>
  </w:num>
  <w:num w:numId="25" w16cid:durableId="1791624577">
    <w:abstractNumId w:val="22"/>
  </w:num>
  <w:num w:numId="26" w16cid:durableId="1773666569">
    <w:abstractNumId w:val="27"/>
  </w:num>
  <w:num w:numId="27" w16cid:durableId="1865973061">
    <w:abstractNumId w:val="28"/>
  </w:num>
  <w:num w:numId="28" w16cid:durableId="838807542">
    <w:abstractNumId w:val="5"/>
  </w:num>
  <w:num w:numId="29" w16cid:durableId="1293515178">
    <w:abstractNumId w:val="8"/>
  </w:num>
  <w:num w:numId="30" w16cid:durableId="2002539162">
    <w:abstractNumId w:val="6"/>
  </w:num>
  <w:num w:numId="31" w16cid:durableId="97518142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2F"/>
    <w:rsid w:val="00221B7B"/>
    <w:rsid w:val="002508C8"/>
    <w:rsid w:val="003E2610"/>
    <w:rsid w:val="004C3C28"/>
    <w:rsid w:val="005179DF"/>
    <w:rsid w:val="00521C2F"/>
    <w:rsid w:val="00855C9C"/>
    <w:rsid w:val="00957DFE"/>
    <w:rsid w:val="00DC5A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C7B9E"/>
  <w15:chartTrackingRefBased/>
  <w15:docId w15:val="{8E795F23-9369-4CB1-BF1A-755F13979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1C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1C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1C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1C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1C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1C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C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C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C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C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1C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1C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1C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1C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1C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C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C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C2F"/>
    <w:rPr>
      <w:rFonts w:eastAsiaTheme="majorEastAsia" w:cstheme="majorBidi"/>
      <w:color w:val="272727" w:themeColor="text1" w:themeTint="D8"/>
    </w:rPr>
  </w:style>
  <w:style w:type="paragraph" w:styleId="Title">
    <w:name w:val="Title"/>
    <w:basedOn w:val="Normal"/>
    <w:next w:val="Normal"/>
    <w:link w:val="TitleChar"/>
    <w:uiPriority w:val="10"/>
    <w:qFormat/>
    <w:rsid w:val="00521C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C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C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C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C2F"/>
    <w:pPr>
      <w:spacing w:before="160"/>
      <w:jc w:val="center"/>
    </w:pPr>
    <w:rPr>
      <w:i/>
      <w:iCs/>
      <w:color w:val="404040" w:themeColor="text1" w:themeTint="BF"/>
    </w:rPr>
  </w:style>
  <w:style w:type="character" w:customStyle="1" w:styleId="QuoteChar">
    <w:name w:val="Quote Char"/>
    <w:basedOn w:val="DefaultParagraphFont"/>
    <w:link w:val="Quote"/>
    <w:uiPriority w:val="29"/>
    <w:rsid w:val="00521C2F"/>
    <w:rPr>
      <w:i/>
      <w:iCs/>
      <w:color w:val="404040" w:themeColor="text1" w:themeTint="BF"/>
    </w:rPr>
  </w:style>
  <w:style w:type="paragraph" w:styleId="ListParagraph">
    <w:name w:val="List Paragraph"/>
    <w:basedOn w:val="Normal"/>
    <w:uiPriority w:val="34"/>
    <w:qFormat/>
    <w:rsid w:val="00521C2F"/>
    <w:pPr>
      <w:ind w:left="720"/>
      <w:contextualSpacing/>
    </w:pPr>
  </w:style>
  <w:style w:type="character" w:styleId="IntenseEmphasis">
    <w:name w:val="Intense Emphasis"/>
    <w:basedOn w:val="DefaultParagraphFont"/>
    <w:uiPriority w:val="21"/>
    <w:qFormat/>
    <w:rsid w:val="00521C2F"/>
    <w:rPr>
      <w:i/>
      <w:iCs/>
      <w:color w:val="0F4761" w:themeColor="accent1" w:themeShade="BF"/>
    </w:rPr>
  </w:style>
  <w:style w:type="paragraph" w:styleId="IntenseQuote">
    <w:name w:val="Intense Quote"/>
    <w:basedOn w:val="Normal"/>
    <w:next w:val="Normal"/>
    <w:link w:val="IntenseQuoteChar"/>
    <w:uiPriority w:val="30"/>
    <w:qFormat/>
    <w:rsid w:val="00521C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1C2F"/>
    <w:rPr>
      <w:i/>
      <w:iCs/>
      <w:color w:val="0F4761" w:themeColor="accent1" w:themeShade="BF"/>
    </w:rPr>
  </w:style>
  <w:style w:type="character" w:styleId="IntenseReference">
    <w:name w:val="Intense Reference"/>
    <w:basedOn w:val="DefaultParagraphFont"/>
    <w:uiPriority w:val="32"/>
    <w:qFormat/>
    <w:rsid w:val="00521C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9</Pages>
  <Words>2264</Words>
  <Characters>12905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Jones</dc:creator>
  <cp:keywords/>
  <dc:description/>
  <cp:lastModifiedBy>Stephen Jones</cp:lastModifiedBy>
  <cp:revision>1</cp:revision>
  <dcterms:created xsi:type="dcterms:W3CDTF">2026-03-17T16:04:00Z</dcterms:created>
  <dcterms:modified xsi:type="dcterms:W3CDTF">2026-03-17T16:59:00Z</dcterms:modified>
</cp:coreProperties>
</file>